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CCA93" w14:textId="25BDBCBC" w:rsidR="00711813" w:rsidRPr="00A86A8D" w:rsidRDefault="004043A2" w:rsidP="00F26BBE">
      <w:pPr>
        <w:jc w:val="center"/>
        <w:rPr>
          <w:rFonts w:asciiTheme="minorHAnsi" w:hAnsiTheme="minorHAnsi" w:cstheme="minorHAnsi"/>
          <w:b/>
          <w:sz w:val="28"/>
          <w:szCs w:val="28"/>
          <w:lang w:val="en-AU"/>
        </w:rPr>
      </w:pPr>
      <w:r>
        <w:rPr>
          <w:rFonts w:asciiTheme="minorHAnsi" w:hAnsiTheme="minorHAnsi" w:cstheme="minorHAnsi"/>
          <w:b/>
          <w:sz w:val="28"/>
          <w:szCs w:val="28"/>
          <w:lang w:val="en-AU"/>
        </w:rPr>
        <w:t>Near-Infrared Light P</w:t>
      </w:r>
      <w:r w:rsidR="00A86A8D" w:rsidRPr="00A86A8D">
        <w:rPr>
          <w:rFonts w:asciiTheme="minorHAnsi" w:hAnsiTheme="minorHAnsi" w:cstheme="minorHAnsi"/>
          <w:b/>
          <w:sz w:val="28"/>
          <w:szCs w:val="28"/>
          <w:lang w:val="en-AU"/>
        </w:rPr>
        <w:t>hotocatalysis over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U</w:t>
      </w:r>
      <w:r w:rsidR="00A86A8D">
        <w:rPr>
          <w:rFonts w:asciiTheme="minorHAnsi" w:hAnsiTheme="minorHAnsi" w:cstheme="minorHAnsi"/>
          <w:b/>
          <w:sz w:val="28"/>
          <w:szCs w:val="28"/>
        </w:rPr>
        <w:t>pconver</w:t>
      </w:r>
      <w:r>
        <w:rPr>
          <w:rFonts w:asciiTheme="minorHAnsi" w:hAnsiTheme="minorHAnsi" w:cstheme="minorHAnsi"/>
          <w:b/>
          <w:sz w:val="28"/>
          <w:szCs w:val="28"/>
        </w:rPr>
        <w:t>ting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Carbon Nitride N</w:t>
      </w:r>
      <w:r w:rsidR="00A86A8D" w:rsidRPr="00A86A8D">
        <w:rPr>
          <w:rFonts w:asciiTheme="minorHAnsi" w:hAnsiTheme="minorHAnsi" w:cstheme="minorHAnsi"/>
          <w:b/>
          <w:sz w:val="28"/>
          <w:szCs w:val="28"/>
        </w:rPr>
        <w:t xml:space="preserve">anotubes  </w:t>
      </w:r>
    </w:p>
    <w:p w14:paraId="57C45AC5" w14:textId="77777777" w:rsidR="00DF1C8E" w:rsidRDefault="00DF1C8E" w:rsidP="00711813">
      <w:pPr>
        <w:jc w:val="both"/>
        <w:rPr>
          <w:rFonts w:ascii="Calibri" w:hAnsi="Calibri" w:cs="Calibri"/>
          <w:sz w:val="20"/>
          <w:szCs w:val="20"/>
          <w:lang w:val="en-AU"/>
        </w:rPr>
      </w:pPr>
    </w:p>
    <w:p w14:paraId="22DB1634" w14:textId="796863C8" w:rsidR="00DF1C8E" w:rsidRPr="005F19FF" w:rsidRDefault="004043A2" w:rsidP="00F26BBE">
      <w:pPr>
        <w:jc w:val="center"/>
        <w:rPr>
          <w:rFonts w:ascii="Calibri" w:hAnsi="Calibri" w:cs="Calibri"/>
          <w:i/>
          <w:lang w:val="en-AU"/>
        </w:rPr>
      </w:pPr>
      <w:r>
        <w:rPr>
          <w:rFonts w:ascii="Calibri" w:hAnsi="Calibri" w:cs="Calibri"/>
          <w:i/>
          <w:lang w:val="en-AU"/>
        </w:rPr>
        <w:t>Yijiao Jiang</w:t>
      </w:r>
    </w:p>
    <w:p w14:paraId="5DE38E95" w14:textId="7161556A" w:rsidR="004043A2" w:rsidRDefault="00851B01" w:rsidP="00F26BBE">
      <w:pPr>
        <w:jc w:val="center"/>
        <w:rPr>
          <w:rFonts w:ascii="Calibri" w:hAnsi="Calibri" w:cs="Calibri"/>
          <w:sz w:val="22"/>
          <w:szCs w:val="22"/>
          <w:lang w:val="en-AU"/>
        </w:rPr>
      </w:pPr>
      <w:r w:rsidRPr="00851B01">
        <w:rPr>
          <w:rFonts w:ascii="Calibri" w:hAnsi="Calibri" w:cs="Calibri"/>
          <w:sz w:val="22"/>
          <w:szCs w:val="22"/>
          <w:lang w:val="en-AU"/>
        </w:rPr>
        <w:t xml:space="preserve">School of </w:t>
      </w:r>
      <w:r w:rsidR="004043A2">
        <w:rPr>
          <w:rFonts w:ascii="Calibri" w:hAnsi="Calibri" w:cs="Calibri"/>
          <w:sz w:val="22"/>
          <w:szCs w:val="22"/>
          <w:lang w:val="en-AU"/>
        </w:rPr>
        <w:t>Engineering</w:t>
      </w:r>
      <w:r w:rsidRPr="00851B01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86353F">
        <w:rPr>
          <w:rFonts w:ascii="Calibri" w:hAnsi="Calibri" w:cs="Calibri"/>
          <w:sz w:val="22"/>
          <w:szCs w:val="22"/>
          <w:lang w:val="en-AU"/>
        </w:rPr>
        <w:t>Macquarie</w:t>
      </w:r>
      <w:r w:rsidRPr="00851B01">
        <w:rPr>
          <w:rFonts w:ascii="Calibri" w:hAnsi="Calibri" w:cs="Calibri"/>
          <w:sz w:val="22"/>
          <w:szCs w:val="22"/>
          <w:lang w:val="en-AU"/>
        </w:rPr>
        <w:t xml:space="preserve"> University, </w:t>
      </w:r>
      <w:r w:rsidR="004043A2">
        <w:rPr>
          <w:rFonts w:ascii="Calibri" w:hAnsi="Calibri" w:cs="Calibri"/>
          <w:sz w:val="22"/>
          <w:szCs w:val="22"/>
          <w:lang w:val="en-AU"/>
        </w:rPr>
        <w:t>Sydney, NSW 2109, Australia</w:t>
      </w:r>
    </w:p>
    <w:p w14:paraId="449078FD" w14:textId="7F9DEB9E" w:rsidR="00851B01" w:rsidRDefault="004043A2" w:rsidP="00F26BBE">
      <w:pPr>
        <w:jc w:val="center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E-</w:t>
      </w:r>
      <w:r w:rsidR="00851B01" w:rsidRPr="00851B01">
        <w:rPr>
          <w:rFonts w:ascii="Calibri" w:hAnsi="Calibri" w:cs="Calibri"/>
          <w:sz w:val="22"/>
          <w:szCs w:val="22"/>
          <w:lang w:val="en-AU"/>
        </w:rPr>
        <w:t xml:space="preserve">mail: </w:t>
      </w:r>
      <w:hyperlink r:id="rId5" w:history="1">
        <w:r w:rsidRPr="007F64A5">
          <w:rPr>
            <w:rStyle w:val="Hyperlink"/>
            <w:rFonts w:ascii="Calibri" w:hAnsi="Calibri" w:cs="Calibri"/>
            <w:sz w:val="22"/>
            <w:szCs w:val="22"/>
            <w:lang w:val="en-AU"/>
          </w:rPr>
          <w:t>yijiao.jiang@mq.edu.au</w:t>
        </w:r>
      </w:hyperlink>
    </w:p>
    <w:p w14:paraId="05E17889" w14:textId="7BE85B77" w:rsidR="00711813" w:rsidRPr="006B3866" w:rsidRDefault="00711813" w:rsidP="00711813">
      <w:pPr>
        <w:pStyle w:val="Default"/>
        <w:jc w:val="both"/>
        <w:rPr>
          <w:color w:val="auto"/>
          <w:sz w:val="22"/>
          <w:szCs w:val="22"/>
          <w:lang w:val="en-AU"/>
        </w:rPr>
      </w:pPr>
    </w:p>
    <w:p w14:paraId="0F96CEA6" w14:textId="58AE6436" w:rsidR="00352080" w:rsidRPr="00352080" w:rsidRDefault="00352080" w:rsidP="00352080">
      <w:pPr>
        <w:jc w:val="both"/>
        <w:rPr>
          <w:rFonts w:asciiTheme="minorHAnsi" w:hAnsiTheme="minorHAnsi" w:cstheme="minorHAnsi"/>
          <w:noProof/>
          <w:sz w:val="22"/>
          <w:szCs w:val="22"/>
          <w:shd w:val="clear" w:color="auto" w:fill="FFFFFF"/>
        </w:rPr>
      </w:pPr>
      <w:r w:rsidRPr="00352080">
        <w:rPr>
          <w:rFonts w:asciiTheme="minorHAnsi" w:hAnsiTheme="minorHAnsi" w:cstheme="minorHAnsi"/>
          <w:sz w:val="22"/>
          <w:szCs w:val="22"/>
        </w:rPr>
        <w:t xml:space="preserve">Solar-to-chemical energy conversion via photocatalysis has attracted tremendous </w:t>
      </w:r>
      <w:r w:rsidRPr="00352080">
        <w:rPr>
          <w:rFonts w:asciiTheme="minorHAnsi" w:hAnsiTheme="minorHAnsi" w:cstheme="minorHAnsi"/>
          <w:noProof/>
          <w:sz w:val="22"/>
          <w:szCs w:val="22"/>
        </w:rPr>
        <w:t xml:space="preserve">attention </w:t>
      </w:r>
      <w:r w:rsidRPr="00352080">
        <w:rPr>
          <w:rFonts w:asciiTheme="minorHAnsi" w:hAnsiTheme="minorHAnsi" w:cstheme="minorHAnsi"/>
          <w:sz w:val="22"/>
          <w:szCs w:val="22"/>
        </w:rPr>
        <w:t xml:space="preserve">as a potential solution to the worldwide energy shortage and environmental issues. </w:t>
      </w:r>
      <w:r w:rsidRPr="00352080">
        <w:rPr>
          <w:rFonts w:asciiTheme="minorHAnsi" w:hAnsiTheme="minorHAnsi" w:cstheme="minorHAnsi"/>
          <w:noProof/>
          <w:sz w:val="22"/>
          <w:szCs w:val="22"/>
          <w:shd w:val="clear" w:color="auto" w:fill="FFFFFF"/>
        </w:rPr>
        <w:t>Among various photocatlaysts, metal-free polymeric graphitic carbon nitride (g-C</w:t>
      </w:r>
      <w:r w:rsidRPr="00352080">
        <w:rPr>
          <w:rFonts w:asciiTheme="minorHAnsi" w:hAnsiTheme="minorHAnsi" w:cstheme="minorHAnsi"/>
          <w:noProof/>
          <w:sz w:val="22"/>
          <w:szCs w:val="22"/>
          <w:shd w:val="clear" w:color="auto" w:fill="FFFFFF"/>
          <w:vertAlign w:val="subscript"/>
        </w:rPr>
        <w:t>3</w:t>
      </w:r>
      <w:r w:rsidRPr="00352080">
        <w:rPr>
          <w:rFonts w:asciiTheme="minorHAnsi" w:hAnsiTheme="minorHAnsi" w:cstheme="minorHAnsi"/>
          <w:noProof/>
          <w:sz w:val="22"/>
          <w:szCs w:val="22"/>
          <w:shd w:val="clear" w:color="auto" w:fill="FFFFFF"/>
        </w:rPr>
        <w:t>N</w:t>
      </w:r>
      <w:r w:rsidRPr="00352080">
        <w:rPr>
          <w:rFonts w:asciiTheme="minorHAnsi" w:hAnsiTheme="minorHAnsi" w:cstheme="minorHAnsi"/>
          <w:noProof/>
          <w:sz w:val="22"/>
          <w:szCs w:val="22"/>
          <w:shd w:val="clear" w:color="auto" w:fill="FFFFFF"/>
          <w:vertAlign w:val="subscript"/>
        </w:rPr>
        <w:t>4</w:t>
      </w:r>
      <w:r w:rsidRPr="00352080">
        <w:rPr>
          <w:rFonts w:asciiTheme="minorHAnsi" w:hAnsiTheme="minorHAnsi" w:cstheme="minorHAnsi"/>
          <w:noProof/>
          <w:sz w:val="22"/>
          <w:szCs w:val="22"/>
          <w:shd w:val="clear" w:color="auto" w:fill="FFFFFF"/>
        </w:rPr>
        <w:t>) has attracted tremendous attention due to its low-cost and visible-light absorption. Our recent results demonstrate that C</w:t>
      </w:r>
      <w:r w:rsidRPr="00352080">
        <w:rPr>
          <w:rFonts w:asciiTheme="minorHAnsi" w:hAnsiTheme="minorHAnsi" w:cstheme="minorHAnsi"/>
          <w:noProof/>
          <w:sz w:val="22"/>
          <w:szCs w:val="22"/>
          <w:shd w:val="clear" w:color="auto" w:fill="FFFFFF"/>
          <w:vertAlign w:val="subscript"/>
        </w:rPr>
        <w:t>3</w:t>
      </w:r>
      <w:r w:rsidRPr="00352080">
        <w:rPr>
          <w:rFonts w:asciiTheme="minorHAnsi" w:hAnsiTheme="minorHAnsi" w:cstheme="minorHAnsi"/>
          <w:noProof/>
          <w:sz w:val="22"/>
          <w:szCs w:val="22"/>
          <w:shd w:val="clear" w:color="auto" w:fill="FFFFFF"/>
        </w:rPr>
        <w:t>N</w:t>
      </w:r>
      <w:r w:rsidRPr="00352080">
        <w:rPr>
          <w:rFonts w:asciiTheme="minorHAnsi" w:hAnsiTheme="minorHAnsi" w:cstheme="minorHAnsi"/>
          <w:noProof/>
          <w:sz w:val="22"/>
          <w:szCs w:val="22"/>
          <w:shd w:val="clear" w:color="auto" w:fill="FFFFFF"/>
          <w:vertAlign w:val="subscript"/>
        </w:rPr>
        <w:t>4</w:t>
      </w:r>
      <w:r w:rsidRPr="00352080">
        <w:rPr>
          <w:rFonts w:asciiTheme="minorHAnsi" w:hAnsiTheme="minorHAnsi" w:cstheme="minorHAnsi"/>
          <w:noProof/>
          <w:sz w:val="22"/>
          <w:szCs w:val="22"/>
          <w:shd w:val="clear" w:color="auto" w:fill="FFFFFF"/>
        </w:rPr>
        <w:t xml:space="preserve"> nanotubes (C</w:t>
      </w:r>
      <w:r w:rsidRPr="00352080">
        <w:rPr>
          <w:rFonts w:asciiTheme="minorHAnsi" w:hAnsiTheme="minorHAnsi" w:cstheme="minorHAnsi"/>
          <w:noProof/>
          <w:sz w:val="22"/>
          <w:szCs w:val="22"/>
          <w:shd w:val="clear" w:color="auto" w:fill="FFFFFF"/>
          <w:vertAlign w:val="subscript"/>
        </w:rPr>
        <w:t>3</w:t>
      </w:r>
      <w:r w:rsidRPr="00352080">
        <w:rPr>
          <w:rFonts w:asciiTheme="minorHAnsi" w:hAnsiTheme="minorHAnsi" w:cstheme="minorHAnsi"/>
          <w:noProof/>
          <w:sz w:val="22"/>
          <w:szCs w:val="22"/>
          <w:shd w:val="clear" w:color="auto" w:fill="FFFFFF"/>
        </w:rPr>
        <w:t>N</w:t>
      </w:r>
      <w:r w:rsidRPr="00352080">
        <w:rPr>
          <w:rFonts w:asciiTheme="minorHAnsi" w:hAnsiTheme="minorHAnsi" w:cstheme="minorHAnsi"/>
          <w:noProof/>
          <w:sz w:val="22"/>
          <w:szCs w:val="22"/>
          <w:shd w:val="clear" w:color="auto" w:fill="FFFFFF"/>
          <w:vertAlign w:val="subscript"/>
        </w:rPr>
        <w:t>4</w:t>
      </w:r>
      <w:r w:rsidRPr="00352080">
        <w:rPr>
          <w:rFonts w:asciiTheme="minorHAnsi" w:hAnsiTheme="minorHAnsi" w:cstheme="minorHAnsi"/>
          <w:noProof/>
          <w:sz w:val="22"/>
          <w:szCs w:val="22"/>
          <w:shd w:val="clear" w:color="auto" w:fill="FFFFFF"/>
        </w:rPr>
        <w:t xml:space="preserve"> NTs) exhibit higher activities than bulk C</w:t>
      </w:r>
      <w:r w:rsidRPr="00352080">
        <w:rPr>
          <w:rFonts w:asciiTheme="minorHAnsi" w:hAnsiTheme="minorHAnsi" w:cstheme="minorHAnsi"/>
          <w:noProof/>
          <w:sz w:val="22"/>
          <w:szCs w:val="22"/>
          <w:shd w:val="clear" w:color="auto" w:fill="FFFFFF"/>
          <w:vertAlign w:val="subscript"/>
        </w:rPr>
        <w:t>3</w:t>
      </w:r>
      <w:r w:rsidRPr="00352080">
        <w:rPr>
          <w:rFonts w:asciiTheme="minorHAnsi" w:hAnsiTheme="minorHAnsi" w:cstheme="minorHAnsi"/>
          <w:noProof/>
          <w:sz w:val="22"/>
          <w:szCs w:val="22"/>
          <w:shd w:val="clear" w:color="auto" w:fill="FFFFFF"/>
        </w:rPr>
        <w:t>N</w:t>
      </w:r>
      <w:r w:rsidRPr="00352080">
        <w:rPr>
          <w:rFonts w:asciiTheme="minorHAnsi" w:hAnsiTheme="minorHAnsi" w:cstheme="minorHAnsi"/>
          <w:noProof/>
          <w:sz w:val="22"/>
          <w:szCs w:val="22"/>
          <w:shd w:val="clear" w:color="auto" w:fill="FFFFFF"/>
          <w:vertAlign w:val="subscript"/>
        </w:rPr>
        <w:t>4</w:t>
      </w:r>
      <w:r w:rsidRPr="00352080">
        <w:rPr>
          <w:rFonts w:asciiTheme="minorHAnsi" w:hAnsiTheme="minorHAnsi" w:cstheme="minorHAnsi"/>
          <w:noProof/>
          <w:sz w:val="22"/>
          <w:szCs w:val="22"/>
          <w:shd w:val="clear" w:color="auto" w:fill="FFFFFF"/>
        </w:rPr>
        <w:t xml:space="preserve"> and C</w:t>
      </w:r>
      <w:r w:rsidRPr="00352080">
        <w:rPr>
          <w:rFonts w:asciiTheme="minorHAnsi" w:hAnsiTheme="minorHAnsi" w:cstheme="minorHAnsi"/>
          <w:noProof/>
          <w:sz w:val="22"/>
          <w:szCs w:val="22"/>
          <w:shd w:val="clear" w:color="auto" w:fill="FFFFFF"/>
          <w:vertAlign w:val="subscript"/>
        </w:rPr>
        <w:t>3</w:t>
      </w:r>
      <w:r w:rsidRPr="00352080">
        <w:rPr>
          <w:rFonts w:asciiTheme="minorHAnsi" w:hAnsiTheme="minorHAnsi" w:cstheme="minorHAnsi"/>
          <w:noProof/>
          <w:sz w:val="22"/>
          <w:szCs w:val="22"/>
          <w:shd w:val="clear" w:color="auto" w:fill="FFFFFF"/>
        </w:rPr>
        <w:t>N</w:t>
      </w:r>
      <w:r w:rsidRPr="00352080">
        <w:rPr>
          <w:rFonts w:asciiTheme="minorHAnsi" w:hAnsiTheme="minorHAnsi" w:cstheme="minorHAnsi"/>
          <w:noProof/>
          <w:sz w:val="22"/>
          <w:szCs w:val="22"/>
          <w:shd w:val="clear" w:color="auto" w:fill="FFFFFF"/>
          <w:vertAlign w:val="subscript"/>
        </w:rPr>
        <w:t>4</w:t>
      </w:r>
      <w:r w:rsidRPr="00352080">
        <w:rPr>
          <w:rFonts w:asciiTheme="minorHAnsi" w:hAnsiTheme="minorHAnsi" w:cstheme="minorHAnsi"/>
          <w:noProof/>
          <w:sz w:val="22"/>
          <w:szCs w:val="22"/>
          <w:shd w:val="clear" w:color="auto" w:fill="FFFFFF"/>
        </w:rPr>
        <w:t xml:space="preserve"> nanosheets. It is highly desirable to extend the absorption of C</w:t>
      </w:r>
      <w:r w:rsidRPr="00352080">
        <w:rPr>
          <w:rFonts w:asciiTheme="minorHAnsi" w:hAnsiTheme="minorHAnsi" w:cstheme="minorHAnsi"/>
          <w:noProof/>
          <w:sz w:val="22"/>
          <w:szCs w:val="22"/>
          <w:shd w:val="clear" w:color="auto" w:fill="FFFFFF"/>
          <w:vertAlign w:val="subscript"/>
        </w:rPr>
        <w:t>3</w:t>
      </w:r>
      <w:r w:rsidRPr="00352080">
        <w:rPr>
          <w:rFonts w:asciiTheme="minorHAnsi" w:hAnsiTheme="minorHAnsi" w:cstheme="minorHAnsi"/>
          <w:noProof/>
          <w:sz w:val="22"/>
          <w:szCs w:val="22"/>
          <w:shd w:val="clear" w:color="auto" w:fill="FFFFFF"/>
        </w:rPr>
        <w:t>N</w:t>
      </w:r>
      <w:r w:rsidRPr="00352080">
        <w:rPr>
          <w:rFonts w:asciiTheme="minorHAnsi" w:hAnsiTheme="minorHAnsi" w:cstheme="minorHAnsi"/>
          <w:noProof/>
          <w:sz w:val="22"/>
          <w:szCs w:val="22"/>
          <w:shd w:val="clear" w:color="auto" w:fill="FFFFFF"/>
          <w:vertAlign w:val="subscript"/>
        </w:rPr>
        <w:t>4</w:t>
      </w:r>
      <w:r w:rsidRPr="00352080">
        <w:rPr>
          <w:rFonts w:asciiTheme="minorHAnsi" w:hAnsiTheme="minorHAnsi" w:cstheme="minorHAnsi"/>
          <w:noProof/>
          <w:sz w:val="22"/>
          <w:szCs w:val="22"/>
          <w:shd w:val="clear" w:color="auto" w:fill="FFFFFF"/>
        </w:rPr>
        <w:t xml:space="preserve"> NTs into the near infrared region in order to maximize light harvesting. A promising way is to couple C</w:t>
      </w:r>
      <w:r w:rsidRPr="00352080">
        <w:rPr>
          <w:rFonts w:asciiTheme="minorHAnsi" w:hAnsiTheme="minorHAnsi" w:cstheme="minorHAnsi"/>
          <w:noProof/>
          <w:sz w:val="22"/>
          <w:szCs w:val="22"/>
          <w:shd w:val="clear" w:color="auto" w:fill="FFFFFF"/>
          <w:vertAlign w:val="subscript"/>
        </w:rPr>
        <w:t>3</w:t>
      </w:r>
      <w:r w:rsidRPr="00352080">
        <w:rPr>
          <w:rFonts w:asciiTheme="minorHAnsi" w:hAnsiTheme="minorHAnsi" w:cstheme="minorHAnsi"/>
          <w:noProof/>
          <w:sz w:val="22"/>
          <w:szCs w:val="22"/>
          <w:shd w:val="clear" w:color="auto" w:fill="FFFFFF"/>
        </w:rPr>
        <w:t>N</w:t>
      </w:r>
      <w:r w:rsidRPr="00352080">
        <w:rPr>
          <w:rFonts w:asciiTheme="minorHAnsi" w:hAnsiTheme="minorHAnsi" w:cstheme="minorHAnsi"/>
          <w:noProof/>
          <w:sz w:val="22"/>
          <w:szCs w:val="22"/>
          <w:shd w:val="clear" w:color="auto" w:fill="FFFFFF"/>
          <w:vertAlign w:val="subscript"/>
        </w:rPr>
        <w:t>4</w:t>
      </w:r>
      <w:r w:rsidRPr="00352080">
        <w:rPr>
          <w:rFonts w:asciiTheme="minorHAnsi" w:hAnsiTheme="minorHAnsi" w:cstheme="minorHAnsi"/>
          <w:noProof/>
          <w:sz w:val="22"/>
          <w:szCs w:val="22"/>
          <w:shd w:val="clear" w:color="auto" w:fill="FFFFFF"/>
        </w:rPr>
        <w:t xml:space="preserve"> NTs with lanthanide-doped upconversion nanoparticles (UCNPs) to construct sensitizer/ C</w:t>
      </w:r>
      <w:r w:rsidRPr="00352080">
        <w:rPr>
          <w:rFonts w:asciiTheme="minorHAnsi" w:hAnsiTheme="minorHAnsi" w:cstheme="minorHAnsi"/>
          <w:noProof/>
          <w:sz w:val="22"/>
          <w:szCs w:val="22"/>
          <w:shd w:val="clear" w:color="auto" w:fill="FFFFFF"/>
          <w:vertAlign w:val="subscript"/>
        </w:rPr>
        <w:t>3</w:t>
      </w:r>
      <w:r w:rsidRPr="00352080">
        <w:rPr>
          <w:rFonts w:asciiTheme="minorHAnsi" w:hAnsiTheme="minorHAnsi" w:cstheme="minorHAnsi"/>
          <w:noProof/>
          <w:sz w:val="22"/>
          <w:szCs w:val="22"/>
          <w:shd w:val="clear" w:color="auto" w:fill="FFFFFF"/>
        </w:rPr>
        <w:t>N</w:t>
      </w:r>
      <w:r w:rsidRPr="00352080">
        <w:rPr>
          <w:rFonts w:asciiTheme="minorHAnsi" w:hAnsiTheme="minorHAnsi" w:cstheme="minorHAnsi"/>
          <w:noProof/>
          <w:sz w:val="22"/>
          <w:szCs w:val="22"/>
          <w:shd w:val="clear" w:color="auto" w:fill="FFFFFF"/>
          <w:vertAlign w:val="subscript"/>
        </w:rPr>
        <w:t>4</w:t>
      </w:r>
      <w:r w:rsidRPr="00352080">
        <w:rPr>
          <w:rFonts w:asciiTheme="minorHAnsi" w:hAnsiTheme="minorHAnsi" w:cstheme="minorHAnsi"/>
          <w:noProof/>
          <w:sz w:val="22"/>
          <w:szCs w:val="22"/>
          <w:shd w:val="clear" w:color="auto" w:fill="FFFFFF"/>
        </w:rPr>
        <w:t xml:space="preserve"> NTs heterojunction as UCNPs are capable of converting near infrared (NIR) excitation to visible and even UV emissions. NaYF</w:t>
      </w:r>
      <w:r w:rsidRPr="00352080">
        <w:rPr>
          <w:rFonts w:asciiTheme="minorHAnsi" w:hAnsiTheme="minorHAnsi" w:cstheme="minorHAnsi"/>
          <w:noProof/>
          <w:sz w:val="22"/>
          <w:szCs w:val="22"/>
          <w:shd w:val="clear" w:color="auto" w:fill="FFFFFF"/>
          <w:vertAlign w:val="subscript"/>
        </w:rPr>
        <w:t>4</w:t>
      </w:r>
      <w:r w:rsidRPr="00352080">
        <w:rPr>
          <w:rFonts w:asciiTheme="minorHAnsi" w:hAnsiTheme="minorHAnsi" w:cstheme="minorHAnsi"/>
          <w:noProof/>
          <w:sz w:val="22"/>
          <w:szCs w:val="22"/>
          <w:shd w:val="clear" w:color="auto" w:fill="FFFFFF"/>
        </w:rPr>
        <w:t xml:space="preserve"> crystals have been regarded as the most efficient host material for upconversion matrixes and higher UC efficiency can be expected in rare earth ions-doped NaYF4. In the present work,</w:t>
      </w:r>
      <w:r w:rsidRPr="00352080">
        <w:rPr>
          <w:rFonts w:asciiTheme="minorHAnsi" w:hAnsiTheme="minorHAnsi" w:cstheme="minorHAnsi"/>
          <w:noProof/>
          <w:color w:val="000000"/>
          <w:sz w:val="22"/>
          <w:szCs w:val="22"/>
          <w:shd w:val="clear" w:color="auto" w:fill="FFFFFF"/>
        </w:rPr>
        <w:t xml:space="preserve"> we </w:t>
      </w:r>
      <w:r w:rsidRPr="00352080">
        <w:rPr>
          <w:rFonts w:asciiTheme="minorHAnsi" w:hAnsiTheme="minorHAnsi" w:cstheme="minorHAnsi"/>
          <w:color w:val="000000"/>
          <w:sz w:val="22"/>
          <w:szCs w:val="22"/>
        </w:rPr>
        <w:t xml:space="preserve">extend light absorption to </w:t>
      </w:r>
      <w:r w:rsidRPr="00352080">
        <w:rPr>
          <w:rFonts w:asciiTheme="minorHAnsi" w:hAnsiTheme="minorHAnsi" w:cstheme="minorHAnsi"/>
          <w:sz w:val="22"/>
          <w:szCs w:val="22"/>
        </w:rPr>
        <w:t xml:space="preserve">NIR by </w:t>
      </w:r>
      <w:r w:rsidRPr="00352080">
        <w:rPr>
          <w:rFonts w:asciiTheme="minorHAnsi" w:hAnsiTheme="minorHAnsi" w:cstheme="minorHAnsi"/>
          <w:color w:val="000000"/>
          <w:sz w:val="22"/>
          <w:szCs w:val="22"/>
        </w:rPr>
        <w:t xml:space="preserve">anchoring </w:t>
      </w:r>
      <w:bookmarkStart w:id="0" w:name="OLE_LINK6"/>
      <w:bookmarkStart w:id="1" w:name="OLE_LINK21"/>
      <w:bookmarkStart w:id="2" w:name="OLE_LINK62"/>
      <w:bookmarkStart w:id="3" w:name="OLE_LINK63"/>
      <w:r w:rsidRPr="00352080">
        <w:rPr>
          <w:rFonts w:asciiTheme="minorHAnsi" w:hAnsiTheme="minorHAnsi" w:cstheme="minorHAnsi"/>
          <w:sz w:val="22"/>
          <w:szCs w:val="22"/>
        </w:rPr>
        <w:t>NaYF</w:t>
      </w:r>
      <w:r w:rsidRPr="00352080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Pr="00352080">
        <w:rPr>
          <w:rFonts w:asciiTheme="minorHAnsi" w:hAnsiTheme="minorHAnsi" w:cstheme="minorHAnsi"/>
          <w:noProof/>
          <w:sz w:val="22"/>
          <w:szCs w:val="22"/>
        </w:rPr>
        <w:t>:Yb,Tm</w:t>
      </w:r>
      <w:bookmarkEnd w:id="0"/>
      <w:bookmarkEnd w:id="1"/>
      <w:bookmarkEnd w:id="2"/>
      <w:bookmarkEnd w:id="3"/>
      <w:r w:rsidRPr="00352080">
        <w:rPr>
          <w:rFonts w:asciiTheme="minorHAnsi" w:hAnsiTheme="minorHAnsi" w:cstheme="minorHAnsi"/>
          <w:sz w:val="22"/>
          <w:szCs w:val="22"/>
        </w:rPr>
        <w:t xml:space="preserve"> (NYF) NPs along nitrogen deficient C</w:t>
      </w:r>
      <w:r w:rsidRPr="00352080">
        <w:rPr>
          <w:rFonts w:asciiTheme="minorHAnsi" w:hAnsiTheme="minorHAnsi" w:cstheme="minorHAnsi"/>
          <w:sz w:val="22"/>
          <w:szCs w:val="22"/>
          <w:vertAlign w:val="subscript"/>
        </w:rPr>
        <w:t>3</w:t>
      </w:r>
      <w:r w:rsidRPr="00352080">
        <w:rPr>
          <w:rFonts w:asciiTheme="minorHAnsi" w:hAnsiTheme="minorHAnsi" w:cstheme="minorHAnsi"/>
          <w:sz w:val="22"/>
          <w:szCs w:val="22"/>
        </w:rPr>
        <w:t>N</w:t>
      </w:r>
      <w:r w:rsidRPr="00352080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Pr="00352080">
        <w:rPr>
          <w:rFonts w:asciiTheme="minorHAnsi" w:hAnsiTheme="minorHAnsi" w:cstheme="minorHAnsi"/>
          <w:sz w:val="22"/>
          <w:szCs w:val="22"/>
        </w:rPr>
        <w:t xml:space="preserve"> </w:t>
      </w:r>
      <w:r w:rsidRPr="00352080">
        <w:rPr>
          <w:rFonts w:asciiTheme="minorHAnsi" w:hAnsiTheme="minorHAnsi" w:cstheme="minorHAnsi"/>
          <w:noProof/>
          <w:sz w:val="22"/>
          <w:szCs w:val="22"/>
          <w:shd w:val="clear" w:color="auto" w:fill="FFFFFF"/>
        </w:rPr>
        <w:t>NTs</w:t>
      </w:r>
      <w:r w:rsidRPr="00352080">
        <w:rPr>
          <w:rFonts w:asciiTheme="minorHAnsi" w:hAnsiTheme="minorHAnsi" w:cstheme="minorHAnsi"/>
          <w:sz w:val="22"/>
          <w:szCs w:val="22"/>
        </w:rPr>
        <w:t xml:space="preserve">. This nanostructure achieves high </w:t>
      </w:r>
      <w:r>
        <w:rPr>
          <w:rFonts w:asciiTheme="minorHAnsi" w:hAnsiTheme="minorHAnsi" w:cstheme="minorHAnsi"/>
          <w:sz w:val="22"/>
          <w:szCs w:val="22"/>
        </w:rPr>
        <w:t>photocatalytic performance in hydrogen production and nitrogen fixation under</w:t>
      </w:r>
      <w:r w:rsidRPr="00352080">
        <w:rPr>
          <w:rFonts w:asciiTheme="minorHAnsi" w:hAnsiTheme="minorHAnsi" w:cstheme="minorHAnsi"/>
          <w:sz w:val="22"/>
          <w:szCs w:val="22"/>
        </w:rPr>
        <w:t xml:space="preserve"> NIR light irradiation. This enhanced photocatalytic activity is attributed to the synergistic effect, stronger interaction, higher emission intensity, </w:t>
      </w:r>
      <w:r w:rsidRPr="00352080">
        <w:rPr>
          <w:rFonts w:asciiTheme="minorHAnsi" w:hAnsiTheme="minorHAnsi" w:cstheme="minorHAnsi"/>
          <w:noProof/>
          <w:sz w:val="22"/>
          <w:szCs w:val="22"/>
        </w:rPr>
        <w:t>and</w:t>
      </w:r>
      <w:r w:rsidRPr="00352080">
        <w:rPr>
          <w:rFonts w:asciiTheme="minorHAnsi" w:hAnsiTheme="minorHAnsi" w:cstheme="minorHAnsi"/>
          <w:sz w:val="22"/>
          <w:szCs w:val="22"/>
        </w:rPr>
        <w:t xml:space="preserve"> faster charge transfer between the two nanocomposites. </w:t>
      </w:r>
      <w:r w:rsidRPr="00352080">
        <w:rPr>
          <w:rFonts w:asciiTheme="minorHAnsi" w:hAnsiTheme="minorHAnsi" w:cstheme="minorHAnsi"/>
          <w:color w:val="000000"/>
          <w:sz w:val="22"/>
          <w:szCs w:val="22"/>
        </w:rPr>
        <w:t>This work demonstrates a versatile approach to develop a greener manufacturing process by using low-cost and NIR light-responsive photocatalysts.</w:t>
      </w:r>
    </w:p>
    <w:p w14:paraId="1C170A71" w14:textId="77777777" w:rsidR="00352080" w:rsidRDefault="00352080" w:rsidP="00352080">
      <w:pPr>
        <w:jc w:val="both"/>
        <w:rPr>
          <w:rFonts w:asciiTheme="minorHAnsi" w:hAnsiTheme="minorHAnsi" w:cstheme="minorHAnsi"/>
          <w:noProof/>
          <w:sz w:val="22"/>
          <w:szCs w:val="22"/>
          <w:shd w:val="clear" w:color="auto" w:fill="FFFFFF"/>
        </w:rPr>
      </w:pPr>
      <w:bookmarkStart w:id="4" w:name="_GoBack"/>
      <w:bookmarkEnd w:id="4"/>
    </w:p>
    <w:sectPr w:rsidR="00352080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BB"/>
    <w:rsid w:val="0004118E"/>
    <w:rsid w:val="00045573"/>
    <w:rsid w:val="000860BF"/>
    <w:rsid w:val="001036AA"/>
    <w:rsid w:val="001A21AD"/>
    <w:rsid w:val="002078AD"/>
    <w:rsid w:val="002226BB"/>
    <w:rsid w:val="00225236"/>
    <w:rsid w:val="002272B0"/>
    <w:rsid w:val="00291A30"/>
    <w:rsid w:val="00300B92"/>
    <w:rsid w:val="0030585E"/>
    <w:rsid w:val="00352080"/>
    <w:rsid w:val="00387491"/>
    <w:rsid w:val="004043A2"/>
    <w:rsid w:val="00483B05"/>
    <w:rsid w:val="004E28B9"/>
    <w:rsid w:val="004E5450"/>
    <w:rsid w:val="0055229D"/>
    <w:rsid w:val="00562D19"/>
    <w:rsid w:val="0059609A"/>
    <w:rsid w:val="00597659"/>
    <w:rsid w:val="005E48A2"/>
    <w:rsid w:val="005F19FF"/>
    <w:rsid w:val="00641190"/>
    <w:rsid w:val="006B3866"/>
    <w:rsid w:val="00711813"/>
    <w:rsid w:val="00724E3C"/>
    <w:rsid w:val="00743C46"/>
    <w:rsid w:val="00851B01"/>
    <w:rsid w:val="0086353F"/>
    <w:rsid w:val="008909C9"/>
    <w:rsid w:val="00947B77"/>
    <w:rsid w:val="009B2641"/>
    <w:rsid w:val="009E2228"/>
    <w:rsid w:val="009F06D6"/>
    <w:rsid w:val="00A124E4"/>
    <w:rsid w:val="00A266B4"/>
    <w:rsid w:val="00A86A8D"/>
    <w:rsid w:val="00BC5FCC"/>
    <w:rsid w:val="00C60A71"/>
    <w:rsid w:val="00C80E1A"/>
    <w:rsid w:val="00CC165A"/>
    <w:rsid w:val="00D55F3B"/>
    <w:rsid w:val="00DA2731"/>
    <w:rsid w:val="00DC0ABB"/>
    <w:rsid w:val="00DF1C8E"/>
    <w:rsid w:val="00E335B5"/>
    <w:rsid w:val="00EF12F3"/>
    <w:rsid w:val="00F26BBE"/>
    <w:rsid w:val="00F97620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ijiao.jiang@mq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1844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Yijiao Jiang</cp:lastModifiedBy>
  <cp:revision>5</cp:revision>
  <cp:lastPrinted>2013-06-13T05:15:00Z</cp:lastPrinted>
  <dcterms:created xsi:type="dcterms:W3CDTF">2019-09-30T02:48:00Z</dcterms:created>
  <dcterms:modified xsi:type="dcterms:W3CDTF">2019-09-30T03:20:00Z</dcterms:modified>
</cp:coreProperties>
</file>