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5AC5" w14:textId="5F928704" w:rsidR="00DF1C8E" w:rsidRDefault="00392873" w:rsidP="00392873">
      <w:pPr>
        <w:jc w:val="center"/>
        <w:rPr>
          <w:rFonts w:ascii="Calibri" w:hAnsi="Calibri" w:cs="Calibri"/>
          <w:sz w:val="20"/>
          <w:szCs w:val="20"/>
          <w:lang w:val="en-AU"/>
        </w:rPr>
      </w:pPr>
      <w:r w:rsidRPr="00392873">
        <w:rPr>
          <w:rFonts w:ascii="Calibri" w:hAnsi="Calibri" w:cs="Calibri"/>
          <w:b/>
          <w:sz w:val="28"/>
          <w:szCs w:val="28"/>
          <w:lang w:val="en-AU"/>
        </w:rPr>
        <w:t>Self-assembled nanostructures in ionic liquids facilitate charge storage at electrified interfaces</w:t>
      </w:r>
    </w:p>
    <w:p w14:paraId="061E17FA" w14:textId="77777777" w:rsidR="00392873" w:rsidRDefault="00392873" w:rsidP="00392873">
      <w:pPr>
        <w:jc w:val="center"/>
        <w:rPr>
          <w:rFonts w:ascii="Calibri" w:hAnsi="Calibri" w:cs="Calibri"/>
          <w:i/>
        </w:rPr>
      </w:pPr>
    </w:p>
    <w:p w14:paraId="41D0FC25" w14:textId="422AFC4E" w:rsidR="00392873" w:rsidRPr="00392873" w:rsidRDefault="00392873" w:rsidP="00392873">
      <w:pPr>
        <w:jc w:val="center"/>
        <w:rPr>
          <w:rFonts w:ascii="Calibri" w:hAnsi="Calibri" w:cs="Calibri"/>
          <w:i/>
          <w:vertAlign w:val="superscript"/>
        </w:rPr>
      </w:pPr>
      <w:r w:rsidRPr="00392873">
        <w:rPr>
          <w:rFonts w:ascii="Calibri" w:hAnsi="Calibri" w:cs="Calibri"/>
          <w:i/>
        </w:rPr>
        <w:t>Xianwen Mao</w:t>
      </w:r>
      <w:r w:rsidRPr="00392873">
        <w:rPr>
          <w:rFonts w:ascii="Calibri" w:hAnsi="Calibri" w:cs="Calibri"/>
          <w:i/>
          <w:vertAlign w:val="superscript"/>
        </w:rPr>
        <w:t>1</w:t>
      </w:r>
      <w:r w:rsidRPr="00392873">
        <w:rPr>
          <w:rFonts w:ascii="Calibri" w:hAnsi="Calibri" w:cs="Calibri"/>
          <w:i/>
        </w:rPr>
        <w:t>, Paul Brown</w:t>
      </w:r>
      <w:r w:rsidRPr="00392873">
        <w:rPr>
          <w:rFonts w:ascii="Calibri" w:hAnsi="Calibri" w:cs="Calibri"/>
          <w:i/>
          <w:vertAlign w:val="superscript"/>
        </w:rPr>
        <w:t>1</w:t>
      </w:r>
      <w:r w:rsidRPr="00392873">
        <w:rPr>
          <w:rFonts w:ascii="Calibri" w:hAnsi="Calibri" w:cs="Calibri"/>
          <w:i/>
        </w:rPr>
        <w:t xml:space="preserve">, </w:t>
      </w:r>
      <w:proofErr w:type="spellStart"/>
      <w:r w:rsidRPr="00392873">
        <w:rPr>
          <w:rFonts w:ascii="Calibri" w:hAnsi="Calibri" w:cs="Calibri"/>
          <w:i/>
        </w:rPr>
        <w:t>Ctirad</w:t>
      </w:r>
      <w:proofErr w:type="spellEnd"/>
      <w:r w:rsidRPr="00392873">
        <w:rPr>
          <w:rFonts w:ascii="Calibri" w:hAnsi="Calibri" w:cs="Calibri"/>
          <w:i/>
        </w:rPr>
        <w:t xml:space="preserve"> Červinka</w:t>
      </w:r>
      <w:r w:rsidRPr="00392873">
        <w:rPr>
          <w:rFonts w:ascii="Calibri" w:hAnsi="Calibri" w:cs="Calibri"/>
          <w:i/>
          <w:vertAlign w:val="superscript"/>
        </w:rPr>
        <w:t>2,3</w:t>
      </w:r>
      <w:r w:rsidRPr="00392873">
        <w:rPr>
          <w:rFonts w:ascii="Calibri" w:hAnsi="Calibri" w:cs="Calibri"/>
          <w:i/>
        </w:rPr>
        <w:t>, Gavin Hazell</w:t>
      </w:r>
      <w:r w:rsidRPr="00392873">
        <w:rPr>
          <w:rFonts w:ascii="Calibri" w:hAnsi="Calibri" w:cs="Calibri"/>
          <w:i/>
          <w:vertAlign w:val="superscript"/>
        </w:rPr>
        <w:t>4</w:t>
      </w:r>
      <w:r w:rsidRPr="00392873">
        <w:rPr>
          <w:rFonts w:ascii="Calibri" w:hAnsi="Calibri" w:cs="Calibri"/>
          <w:i/>
        </w:rPr>
        <w:t>, Hua Li</w:t>
      </w:r>
      <w:r w:rsidRPr="00392873">
        <w:rPr>
          <w:rFonts w:ascii="Calibri" w:hAnsi="Calibri" w:cs="Calibri"/>
          <w:i/>
          <w:vertAlign w:val="superscript"/>
        </w:rPr>
        <w:t>5</w:t>
      </w:r>
      <w:r w:rsidRPr="00392873">
        <w:rPr>
          <w:rFonts w:ascii="Calibri" w:hAnsi="Calibri" w:cs="Calibri"/>
          <w:i/>
        </w:rPr>
        <w:t xml:space="preserve">, </w:t>
      </w:r>
      <w:proofErr w:type="spellStart"/>
      <w:r w:rsidRPr="00392873">
        <w:rPr>
          <w:rFonts w:ascii="Calibri" w:hAnsi="Calibri" w:cs="Calibri"/>
          <w:i/>
        </w:rPr>
        <w:t>Yinying</w:t>
      </w:r>
      <w:proofErr w:type="spellEnd"/>
      <w:r w:rsidRPr="00392873">
        <w:rPr>
          <w:rFonts w:ascii="Calibri" w:hAnsi="Calibri" w:cs="Calibri"/>
          <w:i/>
        </w:rPr>
        <w:t xml:space="preserve"> Ren</w:t>
      </w:r>
      <w:r w:rsidRPr="00392873">
        <w:rPr>
          <w:rFonts w:ascii="Calibri" w:hAnsi="Calibri" w:cs="Calibri"/>
          <w:i/>
          <w:vertAlign w:val="superscript"/>
        </w:rPr>
        <w:t>1</w:t>
      </w:r>
      <w:r w:rsidRPr="00392873">
        <w:rPr>
          <w:rFonts w:ascii="Calibri" w:hAnsi="Calibri" w:cs="Calibri"/>
          <w:i/>
        </w:rPr>
        <w:t>, Di Chen</w:t>
      </w:r>
      <w:r w:rsidRPr="00392873">
        <w:rPr>
          <w:rFonts w:ascii="Calibri" w:hAnsi="Calibri" w:cs="Calibri"/>
          <w:i/>
          <w:vertAlign w:val="superscript"/>
        </w:rPr>
        <w:t>6</w:t>
      </w:r>
      <w:r w:rsidRPr="00392873">
        <w:rPr>
          <w:rFonts w:ascii="Calibri" w:hAnsi="Calibri" w:cs="Calibri"/>
          <w:i/>
        </w:rPr>
        <w:t xml:space="preserve">, </w:t>
      </w:r>
      <w:r w:rsidRPr="00392873">
        <w:rPr>
          <w:rFonts w:ascii="Calibri" w:hAnsi="Calibri" w:cs="Calibri"/>
          <w:i/>
          <w:u w:val="single"/>
        </w:rPr>
        <w:t>Rob Atkin</w:t>
      </w:r>
      <w:r w:rsidRPr="00392873">
        <w:rPr>
          <w:rFonts w:ascii="Calibri" w:hAnsi="Calibri" w:cs="Calibri"/>
          <w:i/>
          <w:u w:val="single"/>
          <w:vertAlign w:val="superscript"/>
        </w:rPr>
        <w:t>5</w:t>
      </w:r>
      <w:r w:rsidRPr="00392873">
        <w:rPr>
          <w:rFonts w:ascii="Calibri" w:hAnsi="Calibri" w:cs="Calibri"/>
          <w:i/>
        </w:rPr>
        <w:t>, Julian Eastoe</w:t>
      </w:r>
      <w:r w:rsidRPr="00392873">
        <w:rPr>
          <w:rFonts w:ascii="Calibri" w:hAnsi="Calibri" w:cs="Calibri"/>
          <w:i/>
          <w:vertAlign w:val="superscript"/>
        </w:rPr>
        <w:t>4</w:t>
      </w:r>
      <w:r w:rsidRPr="00392873">
        <w:rPr>
          <w:rFonts w:ascii="Calibri" w:hAnsi="Calibri" w:cs="Calibri"/>
          <w:i/>
        </w:rPr>
        <w:t>, Agilio. A. H. Padua</w:t>
      </w:r>
      <w:r w:rsidRPr="00392873">
        <w:rPr>
          <w:rFonts w:ascii="Calibri" w:hAnsi="Calibri" w:cs="Calibri"/>
          <w:i/>
          <w:vertAlign w:val="superscript"/>
        </w:rPr>
        <w:t>1</w:t>
      </w:r>
      <w:proofErr w:type="gramStart"/>
      <w:r w:rsidRPr="00392873">
        <w:rPr>
          <w:rFonts w:ascii="Calibri" w:hAnsi="Calibri" w:cs="Calibri"/>
          <w:i/>
          <w:vertAlign w:val="superscript"/>
        </w:rPr>
        <w:t>,2</w:t>
      </w:r>
      <w:proofErr w:type="gramEnd"/>
      <w:r w:rsidRPr="00392873">
        <w:rPr>
          <w:rFonts w:ascii="Calibri" w:hAnsi="Calibri" w:cs="Calibri"/>
          <w:i/>
        </w:rPr>
        <w:t>, Margarida. F. Costa Gomes</w:t>
      </w:r>
      <w:r w:rsidRPr="00392873">
        <w:rPr>
          <w:rFonts w:ascii="Calibri" w:hAnsi="Calibri" w:cs="Calibri"/>
          <w:i/>
          <w:vertAlign w:val="superscript"/>
        </w:rPr>
        <w:t>*1</w:t>
      </w:r>
      <w:proofErr w:type="gramStart"/>
      <w:r w:rsidRPr="00392873">
        <w:rPr>
          <w:rFonts w:ascii="Calibri" w:hAnsi="Calibri" w:cs="Calibri"/>
          <w:i/>
          <w:vertAlign w:val="superscript"/>
        </w:rPr>
        <w:t>,2</w:t>
      </w:r>
      <w:proofErr w:type="gramEnd"/>
      <w:r w:rsidRPr="00392873">
        <w:rPr>
          <w:rFonts w:ascii="Calibri" w:hAnsi="Calibri" w:cs="Calibri"/>
          <w:i/>
        </w:rPr>
        <w:t>, T. Alan Hatton</w:t>
      </w:r>
      <w:r w:rsidRPr="00392873">
        <w:rPr>
          <w:rFonts w:ascii="Calibri" w:hAnsi="Calibri" w:cs="Calibri"/>
          <w:i/>
          <w:vertAlign w:val="superscript"/>
        </w:rPr>
        <w:t>*1</w:t>
      </w:r>
    </w:p>
    <w:p w14:paraId="1D001C96" w14:textId="77777777" w:rsidR="00392873" w:rsidRDefault="00392873" w:rsidP="00392873">
      <w:pPr>
        <w:jc w:val="center"/>
        <w:rPr>
          <w:rFonts w:ascii="Calibri" w:hAnsi="Calibri" w:cs="Calibri"/>
          <w:i/>
          <w:vertAlign w:val="superscript"/>
        </w:rPr>
      </w:pPr>
    </w:p>
    <w:p w14:paraId="0965F7A7" w14:textId="4B8A8AEA" w:rsidR="00392873" w:rsidRPr="00392873" w:rsidRDefault="00392873" w:rsidP="00392873">
      <w:pPr>
        <w:jc w:val="center"/>
        <w:rPr>
          <w:rFonts w:ascii="Calibri" w:hAnsi="Calibri" w:cs="Calibri"/>
        </w:rPr>
      </w:pPr>
      <w:r w:rsidRPr="00392873">
        <w:rPr>
          <w:rFonts w:ascii="Calibri" w:hAnsi="Calibri" w:cs="Calibri"/>
          <w:vertAlign w:val="superscript"/>
        </w:rPr>
        <w:t>1</w:t>
      </w:r>
      <w:r w:rsidRPr="00392873">
        <w:rPr>
          <w:rFonts w:ascii="Calibri" w:hAnsi="Calibri" w:cs="Calibri"/>
        </w:rPr>
        <w:t>Department of Chemical Engineering, Massachusetts Institute of Technology, 77 Massachusetts Avenue, Cambridge, MA, 02139, United States</w:t>
      </w:r>
    </w:p>
    <w:p w14:paraId="27DA894D" w14:textId="77777777" w:rsidR="00392873" w:rsidRPr="00392873" w:rsidRDefault="00392873" w:rsidP="00392873">
      <w:pPr>
        <w:jc w:val="center"/>
        <w:rPr>
          <w:rFonts w:ascii="Calibri" w:hAnsi="Calibri" w:cs="Calibri"/>
        </w:rPr>
      </w:pPr>
      <w:r w:rsidRPr="00392873">
        <w:rPr>
          <w:rFonts w:ascii="Calibri" w:hAnsi="Calibri" w:cs="Calibri"/>
          <w:vertAlign w:val="superscript"/>
        </w:rPr>
        <w:t>2</w:t>
      </w:r>
      <w:r w:rsidRPr="00392873">
        <w:rPr>
          <w:rFonts w:ascii="Calibri" w:hAnsi="Calibri" w:cs="Calibri"/>
          <w:iCs/>
        </w:rPr>
        <w:t xml:space="preserve">Ecole </w:t>
      </w:r>
      <w:proofErr w:type="spellStart"/>
      <w:r w:rsidRPr="00392873">
        <w:rPr>
          <w:rFonts w:ascii="Calibri" w:hAnsi="Calibri" w:cs="Calibri"/>
          <w:iCs/>
        </w:rPr>
        <w:t>Normale</w:t>
      </w:r>
      <w:proofErr w:type="spellEnd"/>
      <w:r w:rsidRPr="00392873">
        <w:rPr>
          <w:rFonts w:ascii="Calibri" w:hAnsi="Calibri" w:cs="Calibri"/>
          <w:iCs/>
        </w:rPr>
        <w:t xml:space="preserve"> </w:t>
      </w:r>
      <w:proofErr w:type="spellStart"/>
      <w:r w:rsidRPr="00392873">
        <w:rPr>
          <w:rFonts w:ascii="Calibri" w:hAnsi="Calibri" w:cs="Calibri"/>
          <w:iCs/>
        </w:rPr>
        <w:t>Supérieure</w:t>
      </w:r>
      <w:proofErr w:type="spellEnd"/>
      <w:r w:rsidRPr="00392873">
        <w:rPr>
          <w:rFonts w:ascii="Calibri" w:hAnsi="Calibri" w:cs="Calibri"/>
          <w:iCs/>
        </w:rPr>
        <w:t xml:space="preserve"> de Lyon, </w:t>
      </w:r>
      <w:proofErr w:type="spellStart"/>
      <w:r w:rsidRPr="00392873">
        <w:rPr>
          <w:rFonts w:ascii="Calibri" w:hAnsi="Calibri" w:cs="Calibri"/>
          <w:iCs/>
        </w:rPr>
        <w:t>Laboratoire</w:t>
      </w:r>
      <w:proofErr w:type="spellEnd"/>
      <w:r w:rsidRPr="00392873">
        <w:rPr>
          <w:rFonts w:ascii="Calibri" w:hAnsi="Calibri" w:cs="Calibri"/>
          <w:iCs/>
        </w:rPr>
        <w:t xml:space="preserve"> de </w:t>
      </w:r>
      <w:proofErr w:type="spellStart"/>
      <w:r w:rsidRPr="00392873">
        <w:rPr>
          <w:rFonts w:ascii="Calibri" w:hAnsi="Calibri" w:cs="Calibri"/>
          <w:iCs/>
        </w:rPr>
        <w:t>Chimie</w:t>
      </w:r>
      <w:proofErr w:type="spellEnd"/>
      <w:r w:rsidRPr="00392873">
        <w:rPr>
          <w:rFonts w:ascii="Calibri" w:hAnsi="Calibri" w:cs="Calibri"/>
          <w:iCs/>
        </w:rPr>
        <w:t xml:space="preserve">, UMR CNRS 5182, 46 </w:t>
      </w:r>
      <w:proofErr w:type="spellStart"/>
      <w:r w:rsidRPr="00392873">
        <w:rPr>
          <w:rFonts w:ascii="Calibri" w:hAnsi="Calibri" w:cs="Calibri"/>
          <w:iCs/>
        </w:rPr>
        <w:t>allée</w:t>
      </w:r>
      <w:proofErr w:type="spellEnd"/>
      <w:r w:rsidRPr="00392873">
        <w:rPr>
          <w:rFonts w:ascii="Calibri" w:hAnsi="Calibri" w:cs="Calibri"/>
          <w:iCs/>
        </w:rPr>
        <w:t xml:space="preserve"> </w:t>
      </w:r>
      <w:proofErr w:type="spellStart"/>
      <w:r w:rsidRPr="00392873">
        <w:rPr>
          <w:rFonts w:ascii="Calibri" w:hAnsi="Calibri" w:cs="Calibri"/>
          <w:iCs/>
        </w:rPr>
        <w:t>d’Italie</w:t>
      </w:r>
      <w:proofErr w:type="spellEnd"/>
      <w:r w:rsidRPr="00392873">
        <w:rPr>
          <w:rFonts w:ascii="Calibri" w:hAnsi="Calibri" w:cs="Calibri"/>
          <w:iCs/>
        </w:rPr>
        <w:t xml:space="preserve">, 69364 Lyon </w:t>
      </w:r>
      <w:proofErr w:type="spellStart"/>
      <w:r w:rsidRPr="00392873">
        <w:rPr>
          <w:rFonts w:ascii="Calibri" w:hAnsi="Calibri" w:cs="Calibri"/>
          <w:iCs/>
        </w:rPr>
        <w:t>Cedex</w:t>
      </w:r>
      <w:proofErr w:type="spellEnd"/>
      <w:r w:rsidRPr="00392873">
        <w:rPr>
          <w:rFonts w:ascii="Calibri" w:hAnsi="Calibri" w:cs="Calibri"/>
          <w:iCs/>
        </w:rPr>
        <w:t xml:space="preserve"> 07, France</w:t>
      </w:r>
      <w:r w:rsidRPr="00392873">
        <w:rPr>
          <w:rFonts w:ascii="Calibri" w:hAnsi="Calibri" w:cs="Calibri"/>
        </w:rPr>
        <w:t xml:space="preserve"> </w:t>
      </w:r>
    </w:p>
    <w:p w14:paraId="05D21B54" w14:textId="77777777" w:rsidR="00392873" w:rsidRPr="00392873" w:rsidRDefault="00392873" w:rsidP="00392873">
      <w:pPr>
        <w:jc w:val="center"/>
        <w:rPr>
          <w:rFonts w:ascii="Calibri" w:hAnsi="Calibri" w:cs="Calibri"/>
          <w:iCs/>
        </w:rPr>
      </w:pPr>
      <w:r w:rsidRPr="00392873">
        <w:rPr>
          <w:rFonts w:ascii="Calibri" w:hAnsi="Calibri" w:cs="Calibri"/>
          <w:vertAlign w:val="superscript"/>
        </w:rPr>
        <w:t>3</w:t>
      </w:r>
      <w:r w:rsidRPr="00392873">
        <w:rPr>
          <w:rFonts w:ascii="Calibri" w:hAnsi="Calibri" w:cs="Calibri"/>
          <w:iCs/>
        </w:rPr>
        <w:t xml:space="preserve">Department of Physical Chemistry, University of Chemistry and Technology, Prague, </w:t>
      </w:r>
      <w:proofErr w:type="spellStart"/>
      <w:r w:rsidRPr="00392873">
        <w:rPr>
          <w:rFonts w:ascii="Calibri" w:hAnsi="Calibri" w:cs="Calibri"/>
          <w:iCs/>
        </w:rPr>
        <w:t>Technická</w:t>
      </w:r>
      <w:proofErr w:type="spellEnd"/>
      <w:r w:rsidRPr="00392873">
        <w:rPr>
          <w:rFonts w:ascii="Calibri" w:hAnsi="Calibri" w:cs="Calibri"/>
          <w:iCs/>
        </w:rPr>
        <w:t xml:space="preserve"> 5, CZ-166 28 Prague 6, Czech Republic</w:t>
      </w:r>
    </w:p>
    <w:p w14:paraId="686F1C83" w14:textId="269DEF78" w:rsidR="00392873" w:rsidRPr="00392873" w:rsidRDefault="00392873" w:rsidP="00392873">
      <w:pPr>
        <w:jc w:val="center"/>
        <w:rPr>
          <w:rFonts w:ascii="Calibri" w:hAnsi="Calibri" w:cs="Calibri"/>
        </w:rPr>
      </w:pPr>
      <w:r w:rsidRPr="00392873">
        <w:rPr>
          <w:rFonts w:ascii="Calibri" w:hAnsi="Calibri" w:cs="Calibri"/>
          <w:vertAlign w:val="superscript"/>
        </w:rPr>
        <w:t>4</w:t>
      </w:r>
      <w:r w:rsidRPr="00392873">
        <w:rPr>
          <w:rFonts w:ascii="Calibri" w:hAnsi="Calibri" w:cs="Calibri"/>
          <w:iCs/>
        </w:rPr>
        <w:t xml:space="preserve">Department of Chemistry, University of Bristol, </w:t>
      </w:r>
      <w:proofErr w:type="spellStart"/>
      <w:r w:rsidRPr="00392873">
        <w:rPr>
          <w:rFonts w:ascii="Calibri" w:hAnsi="Calibri" w:cs="Calibri"/>
        </w:rPr>
        <w:t>Cantock's</w:t>
      </w:r>
      <w:proofErr w:type="spellEnd"/>
      <w:r w:rsidRPr="00392873">
        <w:rPr>
          <w:rFonts w:ascii="Calibri" w:hAnsi="Calibri" w:cs="Calibri"/>
        </w:rPr>
        <w:t xml:space="preserve"> Close, Clifton, Bristol BS8 1TS, </w:t>
      </w:r>
      <w:r>
        <w:rPr>
          <w:rFonts w:ascii="Calibri" w:hAnsi="Calibri" w:cs="Calibri"/>
        </w:rPr>
        <w:t>UK</w:t>
      </w:r>
    </w:p>
    <w:p w14:paraId="09A5B3DF" w14:textId="77777777" w:rsidR="00392873" w:rsidRPr="00392873" w:rsidRDefault="00392873" w:rsidP="00392873">
      <w:pPr>
        <w:jc w:val="center"/>
        <w:rPr>
          <w:rFonts w:ascii="Calibri" w:hAnsi="Calibri" w:cs="Calibri"/>
          <w:iCs/>
        </w:rPr>
      </w:pPr>
      <w:r w:rsidRPr="00392873">
        <w:rPr>
          <w:rFonts w:ascii="Calibri" w:hAnsi="Calibri" w:cs="Calibri"/>
          <w:vertAlign w:val="superscript"/>
        </w:rPr>
        <w:t>5</w:t>
      </w:r>
      <w:r w:rsidRPr="00392873">
        <w:rPr>
          <w:rFonts w:ascii="Calibri" w:hAnsi="Calibri" w:cs="Calibri"/>
          <w:iCs/>
        </w:rPr>
        <w:t xml:space="preserve">School of Molecular Sciences, </w:t>
      </w:r>
      <w:proofErr w:type="gramStart"/>
      <w:r w:rsidRPr="00392873">
        <w:rPr>
          <w:rFonts w:ascii="Calibri" w:hAnsi="Calibri" w:cs="Calibri"/>
          <w:iCs/>
        </w:rPr>
        <w:t>The</w:t>
      </w:r>
      <w:proofErr w:type="gramEnd"/>
      <w:r w:rsidRPr="00392873">
        <w:rPr>
          <w:rFonts w:ascii="Calibri" w:hAnsi="Calibri" w:cs="Calibri"/>
          <w:iCs/>
        </w:rPr>
        <w:t xml:space="preserve"> University of Western Australia, Perth, WA 6009, Australia</w:t>
      </w:r>
    </w:p>
    <w:p w14:paraId="34F2232A" w14:textId="77777777" w:rsidR="00392873" w:rsidRPr="00392873" w:rsidRDefault="00392873" w:rsidP="00392873">
      <w:pPr>
        <w:jc w:val="center"/>
        <w:rPr>
          <w:rFonts w:ascii="Calibri" w:hAnsi="Calibri" w:cs="Calibri"/>
        </w:rPr>
      </w:pPr>
      <w:r w:rsidRPr="00392873">
        <w:rPr>
          <w:rFonts w:ascii="Calibri" w:hAnsi="Calibri" w:cs="Calibri"/>
          <w:vertAlign w:val="superscript"/>
        </w:rPr>
        <w:t>6</w:t>
      </w:r>
      <w:r w:rsidRPr="00392873">
        <w:rPr>
          <w:rFonts w:ascii="Calibri" w:hAnsi="Calibri" w:cs="Calibri"/>
        </w:rPr>
        <w:t>Department of Materials Science and Engineering, Stanford University, Stanford, CA 94305</w:t>
      </w:r>
    </w:p>
    <w:p w14:paraId="49EF8C2D" w14:textId="01A8BFC1" w:rsidR="00711813" w:rsidRPr="006B3866" w:rsidRDefault="00711813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19A0A76F" w14:textId="0F133FCC" w:rsidR="00F97620" w:rsidRDefault="00392873" w:rsidP="00392873">
      <w:pPr>
        <w:jc w:val="both"/>
        <w:rPr>
          <w:rFonts w:ascii="Calibri" w:hAnsi="Calibri" w:cs="Calibri"/>
          <w:noProof/>
          <w:sz w:val="22"/>
          <w:szCs w:val="22"/>
          <w:lang w:val="en-AU" w:eastAsia="en-AU"/>
        </w:rPr>
      </w:pPr>
      <w:bookmarkStart w:id="0" w:name="_GoBack"/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D174DC" wp14:editId="3E46F97F">
                <wp:simplePos x="0" y="0"/>
                <wp:positionH relativeFrom="margin">
                  <wp:align>right</wp:align>
                </wp:positionH>
                <wp:positionV relativeFrom="paragraph">
                  <wp:posOffset>3537585</wp:posOffset>
                </wp:positionV>
                <wp:extent cx="2589530" cy="1404620"/>
                <wp:effectExtent l="0" t="0" r="127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4528" w14:textId="2B8D58EC" w:rsidR="00392873" w:rsidRPr="00392873" w:rsidRDefault="00392873" w:rsidP="003928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928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Fig. 1 | </w:t>
                            </w:r>
                            <w:r w:rsidRPr="003928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Bulk-phase structural and electrochemical characterization of [C4C1Im</w:t>
                            </w:r>
                            <w:proofErr w:type="gramStart"/>
                            <w:r w:rsidRPr="003928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][</w:t>
                            </w:r>
                            <w:proofErr w:type="gramEnd"/>
                            <w:r w:rsidRPr="003928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AOT]. </w:t>
                            </w:r>
                            <w:proofErr w:type="gramStart"/>
                            <w:r w:rsidRPr="003928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a</w:t>
                            </w:r>
                            <w:proofErr w:type="gramEnd"/>
                            <w:r w:rsidRPr="003928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, Molecular structures of [C4C1Im]+, [BF4]− and [AOT]− (H, white;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3928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C, grey; N, blue; S, yellow; O, red; B, pink; F, cyan). Typical distances within the molecular ions are indicated. </w:t>
                            </w:r>
                            <w:proofErr w:type="gramStart"/>
                            <w:r w:rsidRPr="003928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b</w:t>
                            </w:r>
                            <w:proofErr w:type="gramEnd"/>
                            <w:r w:rsidRPr="003928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, SANS profiles of [C4C1Im][BF4] (25 °C) 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3928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[C4C1Im][AOT] (25, 50 and 70 °C). Inset: illustration of self-assembly of [C4C1Im</w:t>
                            </w:r>
                            <w:proofErr w:type="gramStart"/>
                            <w:r w:rsidRPr="003928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][</w:t>
                            </w:r>
                            <w:proofErr w:type="gramEnd"/>
                            <w:r w:rsidRPr="003928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AOT] leading to a repeating nanostructure comprising [AOT]− bilayers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3928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AU"/>
                              </w:rPr>
                              <w:t>(red, cation; blue, anion).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D17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7pt;margin-top:278.55pt;width:203.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q9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" stroked="f">
                <v:textbox style="mso-fit-shape-to-text:t">
                  <w:txbxContent>
                    <w:p w14:paraId="2EF24528" w14:textId="2B8D58EC" w:rsidR="00392873" w:rsidRPr="00392873" w:rsidRDefault="00392873" w:rsidP="003928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928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Fig. 1 | </w:t>
                      </w:r>
                      <w:r w:rsidRPr="003928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Bulk-phase structural and electrochemical characterization of [C4C1Im</w:t>
                      </w:r>
                      <w:proofErr w:type="gramStart"/>
                      <w:r w:rsidRPr="003928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][</w:t>
                      </w:r>
                      <w:proofErr w:type="gramEnd"/>
                      <w:r w:rsidRPr="003928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 xml:space="preserve">AOT]. </w:t>
                      </w:r>
                      <w:proofErr w:type="gramStart"/>
                      <w:r w:rsidRPr="003928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AU"/>
                        </w:rPr>
                        <w:t>a</w:t>
                      </w:r>
                      <w:proofErr w:type="gramEnd"/>
                      <w:r w:rsidRPr="003928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, Molecular structures of [C4C1Im]+, [BF4]− and [AOT]− (H, white;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3928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 xml:space="preserve">C, grey; N, blue; S, yellow; O, red; B, pink; F, cyan). Typical distances within the molecular ions are indicated. </w:t>
                      </w:r>
                      <w:proofErr w:type="gramStart"/>
                      <w:r w:rsidRPr="003928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AU"/>
                        </w:rPr>
                        <w:t>b</w:t>
                      </w:r>
                      <w:proofErr w:type="gramEnd"/>
                      <w:r w:rsidRPr="003928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, SANS profiles of [C4C1Im][BF4] (25 °C) and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3928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[C4C1Im][AOT] (25, 50 and 70 °C). Inset: illustration of self-assembly of [C4C1Im</w:t>
                      </w:r>
                      <w:proofErr w:type="gramStart"/>
                      <w:r w:rsidRPr="003928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][</w:t>
                      </w:r>
                      <w:proofErr w:type="gramEnd"/>
                      <w:r w:rsidRPr="003928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AOT] leading to a repeating nanostructure comprising [AOT]− bilayers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39287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AU"/>
                        </w:rPr>
                        <w:t>(red, cation; blue, anion).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23A9D84" wp14:editId="5BC480EA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591435" cy="3825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Driven by the potential applications of ionic liquids (ILs) in many emerging electrochemical technologies, recent research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efforts have been directed at understanding the complex ion ordering in these systems, to uncover novel energy storage mechanisms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at IL–electrode interfaces. Here, we discover that surface-active ILs (SAILs), which contain amphiphilic structures inducing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self-assembly, exhibit enhanced charge storage performance at electrified surfaces. Unlike conventional non-amphiphilic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ILs, for which ion distribution is dominated by Coulombic interactions, SAILs exhibit significant and competing van der Waals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interactions owing to the non-polar surfactant tails, leading to unusual interfacial ion distributions.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b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We reveal that, at an intermediate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degree of electrode polarization, SAILs display optimum performance, because the low-charge-density alkyl tails are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effectively excluded from the electrode surfaces, whereas the formation of non-polar domains along the surface suppresses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undesired overscreening effects. This work represents a crucial step towards understanding the unique interfacial behaviour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and electrochemical properties of amphiphilic liquid systems showing long-range ordering, and offers insights into the design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>principles for high-energy-density electrolytes based on spontaneous self-assembly behaviour.</w:t>
      </w:r>
      <w:bookmarkEnd w:id="0"/>
      <w:r w:rsidRPr="00392873"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</w:p>
    <w:p w14:paraId="122F3DE4" w14:textId="1BE2399D" w:rsidR="00392873" w:rsidRDefault="00392873" w:rsidP="00392873">
      <w:pPr>
        <w:jc w:val="both"/>
        <w:rPr>
          <w:rFonts w:ascii="Calibri" w:hAnsi="Calibri" w:cs="Calibri"/>
          <w:noProof/>
          <w:sz w:val="22"/>
          <w:szCs w:val="22"/>
          <w:lang w:val="en-AU" w:eastAsia="en-AU"/>
        </w:rPr>
      </w:pPr>
    </w:p>
    <w:p w14:paraId="67BA64DE" w14:textId="67C78DD7" w:rsidR="00392873" w:rsidRPr="00392873" w:rsidRDefault="00392873" w:rsidP="00392873">
      <w:pPr>
        <w:jc w:val="both"/>
        <w:rPr>
          <w:rFonts w:ascii="Calibri" w:hAnsi="Calibri" w:cs="Calibri"/>
          <w:b/>
          <w:noProof/>
          <w:sz w:val="22"/>
          <w:szCs w:val="22"/>
          <w:lang w:val="en-AU" w:eastAsia="en-AU"/>
        </w:rPr>
      </w:pPr>
      <w:r w:rsidRPr="00392873">
        <w:rPr>
          <w:rFonts w:ascii="Calibri" w:hAnsi="Calibri" w:cs="Calibri"/>
          <w:b/>
          <w:noProof/>
          <w:sz w:val="22"/>
          <w:szCs w:val="22"/>
          <w:lang w:val="en-AU" w:eastAsia="en-AU"/>
        </w:rPr>
        <w:t>References</w:t>
      </w:r>
    </w:p>
    <w:p w14:paraId="6D995163" w14:textId="77777777" w:rsidR="00392873" w:rsidRDefault="00392873" w:rsidP="00392873">
      <w:pPr>
        <w:jc w:val="both"/>
        <w:rPr>
          <w:rFonts w:ascii="Calibri" w:hAnsi="Calibri" w:cs="Calibri"/>
          <w:noProof/>
          <w:sz w:val="22"/>
          <w:szCs w:val="22"/>
          <w:lang w:val="en-AU" w:eastAsia="en-AU"/>
        </w:rPr>
      </w:pPr>
    </w:p>
    <w:p w14:paraId="5BEBA88E" w14:textId="4D3F89AA" w:rsidR="00392873" w:rsidRPr="00392873" w:rsidRDefault="00392873" w:rsidP="00E77F02">
      <w:pPr>
        <w:pStyle w:val="ListParagraph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2"/>
          <w:szCs w:val="22"/>
          <w:lang w:val="en-AU"/>
        </w:rPr>
      </w:pPr>
      <w:r w:rsidRPr="00392873">
        <w:rPr>
          <w:rFonts w:ascii="Calibri" w:hAnsi="Calibri" w:cs="Calibri"/>
          <w:sz w:val="22"/>
          <w:szCs w:val="22"/>
          <w:lang w:val="en-AU"/>
        </w:rPr>
        <w:t xml:space="preserve">Xianwen Mao, Paul Brown, </w:t>
      </w:r>
      <w:proofErr w:type="spellStart"/>
      <w:r w:rsidRPr="00392873">
        <w:rPr>
          <w:rFonts w:ascii="Calibri" w:hAnsi="Calibri" w:cs="Calibri"/>
          <w:sz w:val="22"/>
          <w:szCs w:val="22"/>
          <w:lang w:val="en-AU"/>
        </w:rPr>
        <w:t>Ctirad</w:t>
      </w:r>
      <w:proofErr w:type="spellEnd"/>
      <w:r w:rsidRPr="00392873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Pr="00392873">
        <w:rPr>
          <w:rFonts w:ascii="Calibri" w:hAnsi="Calibri" w:cs="Calibri"/>
          <w:sz w:val="22"/>
          <w:szCs w:val="22"/>
          <w:lang w:val="en-AU"/>
        </w:rPr>
        <w:t>Červinka</w:t>
      </w:r>
      <w:proofErr w:type="spellEnd"/>
      <w:r w:rsidRPr="00392873">
        <w:rPr>
          <w:rFonts w:ascii="Calibri" w:hAnsi="Calibri" w:cs="Calibri"/>
          <w:sz w:val="22"/>
          <w:szCs w:val="22"/>
          <w:lang w:val="en-AU"/>
        </w:rPr>
        <w:t xml:space="preserve">, Gavin Hazell, Hua Li, </w:t>
      </w:r>
      <w:proofErr w:type="spellStart"/>
      <w:r w:rsidRPr="00392873">
        <w:rPr>
          <w:rFonts w:ascii="Calibri" w:hAnsi="Calibri" w:cs="Calibri"/>
          <w:sz w:val="22"/>
          <w:szCs w:val="22"/>
          <w:lang w:val="en-AU"/>
        </w:rPr>
        <w:t>Yinying</w:t>
      </w:r>
      <w:proofErr w:type="spellEnd"/>
      <w:r w:rsidRPr="00392873">
        <w:rPr>
          <w:rFonts w:ascii="Calibri" w:hAnsi="Calibri" w:cs="Calibri"/>
          <w:sz w:val="22"/>
          <w:szCs w:val="22"/>
          <w:lang w:val="en-AU"/>
        </w:rPr>
        <w:t xml:space="preserve"> Ren, Di Chen, Rob Atkin, Julian Eastoe, Isabelle </w:t>
      </w:r>
      <w:proofErr w:type="spellStart"/>
      <w:r w:rsidRPr="00392873">
        <w:rPr>
          <w:rFonts w:ascii="Calibri" w:hAnsi="Calibri" w:cs="Calibri"/>
          <w:sz w:val="22"/>
          <w:szCs w:val="22"/>
          <w:lang w:val="en-AU"/>
        </w:rPr>
        <w:t>Grillo</w:t>
      </w:r>
      <w:proofErr w:type="spellEnd"/>
      <w:r w:rsidRPr="00392873">
        <w:rPr>
          <w:rFonts w:ascii="Calibri" w:hAnsi="Calibri" w:cs="Calibri"/>
          <w:sz w:val="22"/>
          <w:szCs w:val="22"/>
          <w:lang w:val="en-AU"/>
        </w:rPr>
        <w:t xml:space="preserve">, Agilio Padua, Margarida Costa Gomes, and Alan Hatton "Self-assembled nanostructures in ionic liquids facilitate charge storage at electrified interfaces", </w:t>
      </w:r>
      <w:r w:rsidRPr="00392873">
        <w:rPr>
          <w:rFonts w:ascii="Calibri" w:hAnsi="Calibri" w:cs="Calibri"/>
          <w:i/>
          <w:sz w:val="22"/>
          <w:szCs w:val="22"/>
          <w:lang w:val="en-AU"/>
        </w:rPr>
        <w:t>Nature Materials</w:t>
      </w:r>
      <w:r w:rsidRPr="00392873">
        <w:rPr>
          <w:rFonts w:ascii="Calibri" w:hAnsi="Calibri" w:cs="Calibri"/>
          <w:sz w:val="22"/>
          <w:szCs w:val="22"/>
          <w:lang w:val="en-AU"/>
        </w:rPr>
        <w:t xml:space="preserve">, </w:t>
      </w:r>
      <w:r w:rsidRPr="00392873">
        <w:rPr>
          <w:rFonts w:ascii="Calibri" w:hAnsi="Calibri" w:cs="Calibri"/>
          <w:b/>
          <w:sz w:val="22"/>
          <w:szCs w:val="22"/>
          <w:lang w:val="en-AU"/>
        </w:rPr>
        <w:t>2019</w:t>
      </w:r>
      <w:r w:rsidRPr="00392873">
        <w:rPr>
          <w:rFonts w:ascii="Calibri" w:hAnsi="Calibri" w:cs="Calibri"/>
          <w:sz w:val="22"/>
          <w:szCs w:val="22"/>
          <w:lang w:val="en-AU"/>
        </w:rPr>
        <w:t>, doi.org/10.1038/s41563-019-0449-6</w:t>
      </w:r>
    </w:p>
    <w:p w14:paraId="4983992A" w14:textId="4C8DF44C" w:rsidR="00392873" w:rsidRPr="00392873" w:rsidRDefault="00392873" w:rsidP="00392873">
      <w:pPr>
        <w:pStyle w:val="ListParagraph"/>
        <w:rPr>
          <w:rFonts w:ascii="Calibri" w:hAnsi="Calibri" w:cs="Calibri"/>
          <w:noProof/>
          <w:sz w:val="22"/>
          <w:szCs w:val="22"/>
          <w:lang w:val="en-AU" w:eastAsia="en-AU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fldChar w:fldCharType="begin"/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instrText xml:space="preserve"> ADDIN EN.REFLIST </w:instrTex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fldChar w:fldCharType="end"/>
      </w:r>
    </w:p>
    <w:sectPr w:rsidR="00392873" w:rsidRPr="00392873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149"/>
    <w:multiLevelType w:val="hybridMultilevel"/>
    <w:tmpl w:val="F77C1A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ewapfdvtpvxjed02o5zrea05zrapefztpw&quot;&gt;Robert Merged Library-Saved&lt;record-ids&gt;&lt;item&gt;3810&lt;/item&gt;&lt;/record-ids&gt;&lt;/item&gt;&lt;/Libraries&gt;"/>
  </w:docVars>
  <w:rsids>
    <w:rsidRoot w:val="002226BB"/>
    <w:rsid w:val="0004118E"/>
    <w:rsid w:val="00045573"/>
    <w:rsid w:val="001A21AD"/>
    <w:rsid w:val="002078AD"/>
    <w:rsid w:val="002226BB"/>
    <w:rsid w:val="00225236"/>
    <w:rsid w:val="002272B0"/>
    <w:rsid w:val="00300B92"/>
    <w:rsid w:val="0030585E"/>
    <w:rsid w:val="00387491"/>
    <w:rsid w:val="00392873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909C9"/>
    <w:rsid w:val="00947B77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39287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9287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2873"/>
    <w:rPr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92873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92873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2689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Rob Atkin</cp:lastModifiedBy>
  <cp:revision>2</cp:revision>
  <cp:lastPrinted>2013-06-13T05:15:00Z</cp:lastPrinted>
  <dcterms:created xsi:type="dcterms:W3CDTF">2019-08-19T01:05:00Z</dcterms:created>
  <dcterms:modified xsi:type="dcterms:W3CDTF">2019-08-19T01:05:00Z</dcterms:modified>
</cp:coreProperties>
</file>