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35ED" w14:textId="513F887E" w:rsidR="003866C6" w:rsidRPr="000809FF" w:rsidRDefault="005A6B34" w:rsidP="009A4CFF">
      <w:pPr>
        <w:ind w:left="284" w:right="282"/>
        <w:jc w:val="center"/>
        <w:rPr>
          <w:rFonts w:ascii="Calibri" w:hAnsi="Calibri" w:cs="Calibri"/>
          <w:b/>
          <w:sz w:val="28"/>
          <w:szCs w:val="28"/>
          <w:lang w:val="en-NZ"/>
        </w:rPr>
      </w:pPr>
      <w:bookmarkStart w:id="0" w:name="_Hlk18331422"/>
      <w:bookmarkEnd w:id="0"/>
      <w:r w:rsidRPr="000809FF">
        <w:rPr>
          <w:rFonts w:ascii="Calibri" w:hAnsi="Calibri" w:cs="Calibri"/>
          <w:b/>
          <w:sz w:val="28"/>
          <w:szCs w:val="28"/>
          <w:lang w:val="en-NZ"/>
        </w:rPr>
        <w:t xml:space="preserve">Understanding the role of </w:t>
      </w:r>
      <w:r w:rsidR="003866C6" w:rsidRPr="000809FF">
        <w:rPr>
          <w:rFonts w:ascii="Calibri" w:hAnsi="Calibri" w:cs="Calibri"/>
          <w:b/>
          <w:sz w:val="28"/>
          <w:szCs w:val="28"/>
          <w:lang w:val="en-NZ"/>
        </w:rPr>
        <w:t xml:space="preserve">surface oxides </w:t>
      </w:r>
      <w:r w:rsidR="004832EC" w:rsidRPr="000809FF">
        <w:rPr>
          <w:rFonts w:ascii="Calibri" w:hAnsi="Calibri" w:cs="Calibri"/>
          <w:b/>
          <w:sz w:val="28"/>
          <w:szCs w:val="28"/>
          <w:lang w:val="en-NZ"/>
        </w:rPr>
        <w:t>in HVAF thermal spray coatings</w:t>
      </w:r>
      <w:r w:rsidR="003866C6" w:rsidRPr="000809FF">
        <w:rPr>
          <w:rFonts w:ascii="Calibri" w:hAnsi="Calibri" w:cs="Calibri"/>
          <w:b/>
          <w:sz w:val="28"/>
          <w:szCs w:val="28"/>
          <w:lang w:val="en-NZ"/>
        </w:rPr>
        <w:t>.</w:t>
      </w:r>
    </w:p>
    <w:p w14:paraId="22DB1634" w14:textId="72AE8398" w:rsidR="00DF1C8E" w:rsidRPr="000809FF" w:rsidRDefault="003866C6" w:rsidP="009A4CFF">
      <w:pPr>
        <w:ind w:left="284" w:right="282"/>
        <w:jc w:val="center"/>
        <w:rPr>
          <w:rFonts w:ascii="Calibri" w:hAnsi="Calibri" w:cs="Calibri"/>
          <w:i/>
          <w:lang w:val="en-NZ"/>
        </w:rPr>
      </w:pPr>
      <w:r w:rsidRPr="000809FF">
        <w:rPr>
          <w:rFonts w:ascii="Calibri" w:hAnsi="Calibri" w:cs="Calibri"/>
          <w:i/>
          <w:lang w:val="en-NZ"/>
        </w:rPr>
        <w:t>Bill Trompetter</w:t>
      </w:r>
      <w:r w:rsidR="00711813" w:rsidRPr="000809FF">
        <w:rPr>
          <w:rFonts w:ascii="Calibri" w:hAnsi="Calibri" w:cs="Calibri"/>
          <w:i/>
          <w:lang w:val="en-NZ"/>
        </w:rPr>
        <w:t xml:space="preserve">, </w:t>
      </w:r>
      <w:r w:rsidRPr="000809FF">
        <w:rPr>
          <w:rFonts w:ascii="Calibri" w:hAnsi="Calibri" w:cs="Calibri"/>
          <w:i/>
          <w:lang w:val="en-NZ"/>
        </w:rPr>
        <w:t>Jerome Leveneur, John Kennedy</w:t>
      </w:r>
    </w:p>
    <w:p w14:paraId="49EF8C2D" w14:textId="7379E56B" w:rsidR="00711813" w:rsidRPr="000809FF" w:rsidRDefault="003866C6" w:rsidP="009A4CFF">
      <w:pPr>
        <w:ind w:left="284" w:right="282"/>
        <w:jc w:val="center"/>
        <w:rPr>
          <w:rFonts w:ascii="Calibri" w:hAnsi="Calibri" w:cs="Calibri"/>
          <w:sz w:val="22"/>
          <w:szCs w:val="22"/>
          <w:lang w:val="en-NZ"/>
        </w:rPr>
      </w:pPr>
      <w:r w:rsidRPr="000809FF">
        <w:rPr>
          <w:rFonts w:ascii="Calibri" w:hAnsi="Calibri" w:cs="Calibri"/>
          <w:sz w:val="22"/>
          <w:szCs w:val="22"/>
          <w:lang w:val="en-NZ"/>
        </w:rPr>
        <w:t xml:space="preserve">National Isotope Centre, GNS Science, 30 </w:t>
      </w:r>
      <w:proofErr w:type="spellStart"/>
      <w:r w:rsidRPr="000809FF">
        <w:rPr>
          <w:rFonts w:ascii="Calibri" w:hAnsi="Calibri" w:cs="Calibri"/>
          <w:sz w:val="22"/>
          <w:szCs w:val="22"/>
          <w:lang w:val="en-NZ"/>
        </w:rPr>
        <w:t>Gracefield</w:t>
      </w:r>
      <w:proofErr w:type="spellEnd"/>
      <w:r w:rsidRPr="000809FF">
        <w:rPr>
          <w:rFonts w:ascii="Calibri" w:hAnsi="Calibri" w:cs="Calibri"/>
          <w:sz w:val="22"/>
          <w:szCs w:val="22"/>
          <w:lang w:val="en-NZ"/>
        </w:rPr>
        <w:t xml:space="preserve"> Road, Lower Hutt, New Zealand</w:t>
      </w:r>
      <w:r w:rsidR="00711813" w:rsidRPr="000809FF">
        <w:rPr>
          <w:rFonts w:ascii="Calibri" w:hAnsi="Calibri" w:cs="Calibri"/>
          <w:sz w:val="22"/>
          <w:szCs w:val="22"/>
          <w:lang w:val="en-NZ"/>
        </w:rPr>
        <w:t>.</w:t>
      </w:r>
    </w:p>
    <w:p w14:paraId="05E17889" w14:textId="38F08F16" w:rsidR="00711813" w:rsidRPr="000809FF" w:rsidRDefault="00711813" w:rsidP="009A4CFF">
      <w:pPr>
        <w:pStyle w:val="Default"/>
        <w:ind w:left="284" w:right="282"/>
        <w:jc w:val="both"/>
        <w:rPr>
          <w:color w:val="auto"/>
          <w:sz w:val="22"/>
          <w:szCs w:val="22"/>
          <w:lang w:val="en-NZ"/>
        </w:rPr>
      </w:pPr>
      <w:r w:rsidRPr="000809FF">
        <w:rPr>
          <w:i/>
          <w:color w:val="auto"/>
          <w:sz w:val="22"/>
          <w:szCs w:val="22"/>
          <w:lang w:val="en-NZ"/>
        </w:rPr>
        <w:t xml:space="preserve"> </w:t>
      </w:r>
    </w:p>
    <w:p w14:paraId="35D9DF9C" w14:textId="2D60AC3B" w:rsidR="00711813" w:rsidRPr="000809FF" w:rsidRDefault="00711813" w:rsidP="009A4CFF">
      <w:pPr>
        <w:ind w:left="284" w:right="282"/>
        <w:jc w:val="both"/>
        <w:rPr>
          <w:rFonts w:ascii="Calibri" w:hAnsi="Calibri" w:cs="Calibri"/>
          <w:sz w:val="22"/>
          <w:szCs w:val="22"/>
          <w:lang w:val="en-NZ"/>
        </w:rPr>
      </w:pPr>
      <w:r w:rsidRPr="000809FF">
        <w:rPr>
          <w:rFonts w:ascii="Calibri" w:hAnsi="Calibri" w:cs="Calibri"/>
          <w:b/>
          <w:bCs/>
          <w:sz w:val="22"/>
          <w:szCs w:val="22"/>
          <w:lang w:val="en-NZ"/>
        </w:rPr>
        <w:t>Introduction</w:t>
      </w:r>
    </w:p>
    <w:p w14:paraId="4E587673" w14:textId="24B191D2" w:rsidR="00DB59B3" w:rsidRPr="000809FF" w:rsidRDefault="003942AE" w:rsidP="00DB59B3">
      <w:pPr>
        <w:ind w:left="284" w:right="282"/>
        <w:jc w:val="both"/>
        <w:rPr>
          <w:rFonts w:ascii="Calibri" w:hAnsi="Calibri" w:cs="Calibri"/>
          <w:sz w:val="22"/>
          <w:szCs w:val="22"/>
          <w:lang w:val="en-NZ"/>
        </w:rPr>
      </w:pPr>
      <w:r w:rsidRPr="000809FF">
        <w:rPr>
          <w:rFonts w:ascii="Calibri" w:hAnsi="Calibri" w:cs="Calibri"/>
          <w:sz w:val="22"/>
          <w:szCs w:val="22"/>
          <w:lang w:val="en-NZ"/>
        </w:rPr>
        <w:t xml:space="preserve">For successful bonding of </w:t>
      </w:r>
      <w:r w:rsidR="00281B3F">
        <w:rPr>
          <w:rFonts w:ascii="Calibri" w:hAnsi="Calibri" w:cs="Calibri"/>
          <w:sz w:val="22"/>
          <w:szCs w:val="22"/>
          <w:lang w:val="en-NZ"/>
        </w:rPr>
        <w:t>particles</w:t>
      </w:r>
      <w:r w:rsidRPr="000809FF">
        <w:rPr>
          <w:rFonts w:ascii="Calibri" w:hAnsi="Calibri" w:cs="Calibri"/>
          <w:sz w:val="22"/>
          <w:szCs w:val="22"/>
          <w:lang w:val="en-NZ"/>
        </w:rPr>
        <w:t xml:space="preserve"> in high velocity thermal spray coatings, it has been suggested [1</w:t>
      </w:r>
      <w:r w:rsidR="00281B3F">
        <w:rPr>
          <w:rFonts w:ascii="Calibri" w:hAnsi="Calibri" w:cs="Calibri"/>
          <w:sz w:val="22"/>
          <w:szCs w:val="22"/>
          <w:lang w:val="en-NZ"/>
        </w:rPr>
        <w:t>,</w:t>
      </w:r>
      <w:r w:rsidR="001B26DC">
        <w:rPr>
          <w:rFonts w:ascii="Calibri" w:hAnsi="Calibri" w:cs="Calibri"/>
          <w:sz w:val="22"/>
          <w:szCs w:val="22"/>
          <w:lang w:val="en-NZ"/>
        </w:rPr>
        <w:t>2</w:t>
      </w:r>
      <w:r w:rsidRPr="000809FF">
        <w:rPr>
          <w:rFonts w:ascii="Calibri" w:hAnsi="Calibri" w:cs="Calibri"/>
          <w:sz w:val="22"/>
          <w:szCs w:val="22"/>
          <w:lang w:val="en-NZ"/>
        </w:rPr>
        <w:t xml:space="preserve">] that fracturing of the surface oxide layers is necessary. </w:t>
      </w:r>
      <w:r w:rsidR="0018369C" w:rsidRPr="000809FF">
        <w:rPr>
          <w:rFonts w:ascii="Calibri" w:hAnsi="Calibri" w:cs="Calibri"/>
          <w:sz w:val="22"/>
          <w:szCs w:val="22"/>
          <w:lang w:val="en-NZ"/>
        </w:rPr>
        <w:t>We investigate this suggestion in this</w:t>
      </w:r>
      <w:r w:rsidR="00DB59B3" w:rsidRPr="000809FF">
        <w:rPr>
          <w:rFonts w:ascii="Calibri" w:hAnsi="Calibri" w:cs="Calibri"/>
          <w:sz w:val="22"/>
          <w:szCs w:val="22"/>
          <w:lang w:val="en-NZ"/>
        </w:rPr>
        <w:t xml:space="preserve"> study. </w:t>
      </w:r>
    </w:p>
    <w:p w14:paraId="1834C573" w14:textId="6F948981" w:rsidR="00AF112E" w:rsidRPr="000809FF" w:rsidRDefault="00AF112E" w:rsidP="00AF112E">
      <w:pPr>
        <w:ind w:left="284" w:right="282"/>
        <w:jc w:val="both"/>
        <w:rPr>
          <w:rFonts w:ascii="Calibri" w:hAnsi="Calibri" w:cs="Calibri"/>
          <w:b/>
          <w:bCs/>
          <w:lang w:val="en-NZ"/>
        </w:rPr>
      </w:pPr>
      <w:r w:rsidRPr="000809FF">
        <w:rPr>
          <w:rFonts w:ascii="Calibri" w:hAnsi="Calibri" w:cs="Calibri"/>
          <w:b/>
          <w:bCs/>
          <w:lang w:val="en-NZ"/>
        </w:rPr>
        <w:t xml:space="preserve">Experimental </w:t>
      </w:r>
    </w:p>
    <w:p w14:paraId="11090011" w14:textId="4B33DA57" w:rsidR="00AF112E" w:rsidRPr="000809FF" w:rsidRDefault="001B26DC" w:rsidP="00AF112E">
      <w:pPr>
        <w:ind w:left="284" w:right="282"/>
        <w:jc w:val="both"/>
        <w:rPr>
          <w:rFonts w:ascii="Calibri" w:hAnsi="Calibri" w:cs="Calibri"/>
          <w:sz w:val="22"/>
          <w:szCs w:val="22"/>
          <w:lang w:val="en-NZ"/>
        </w:rPr>
      </w:pPr>
      <w:r w:rsidRPr="000809FF">
        <w:rPr>
          <w:rFonts w:ascii="Calibri" w:hAnsi="Calibri" w:cs="Calibri"/>
          <w:noProof/>
          <w:sz w:val="22"/>
          <w:szCs w:val="22"/>
          <w:lang w:val="en-NZ"/>
        </w:rPr>
        <w:drawing>
          <wp:anchor distT="0" distB="0" distL="114300" distR="114300" simplePos="0" relativeHeight="251658240" behindDoc="0" locked="0" layoutInCell="1" allowOverlap="1" wp14:anchorId="0814C61B" wp14:editId="34FE24A5">
            <wp:simplePos x="0" y="0"/>
            <wp:positionH relativeFrom="column">
              <wp:posOffset>4099560</wp:posOffset>
            </wp:positionH>
            <wp:positionV relativeFrom="paragraph">
              <wp:posOffset>1073150</wp:posOffset>
            </wp:positionV>
            <wp:extent cx="1980000" cy="1749600"/>
            <wp:effectExtent l="0" t="0" r="127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0000" cy="17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9B3" w:rsidRPr="000809FF">
        <w:rPr>
          <w:rFonts w:ascii="Calibri" w:hAnsi="Calibri" w:cs="Calibri"/>
          <w:sz w:val="22"/>
          <w:szCs w:val="22"/>
          <w:lang w:val="en-NZ"/>
        </w:rPr>
        <w:t xml:space="preserve">Native oxides on both metal substrates and the </w:t>
      </w:r>
      <w:r w:rsidR="009F6BBD" w:rsidRPr="000809FF">
        <w:rPr>
          <w:rFonts w:ascii="Calibri" w:hAnsi="Calibri" w:cs="Calibri"/>
          <w:sz w:val="22"/>
          <w:szCs w:val="22"/>
          <w:lang w:val="en-NZ"/>
        </w:rPr>
        <w:t xml:space="preserve">metal </w:t>
      </w:r>
      <w:r w:rsidR="00DB59B3" w:rsidRPr="000809FF">
        <w:rPr>
          <w:rFonts w:ascii="Calibri" w:hAnsi="Calibri" w:cs="Calibri"/>
          <w:sz w:val="22"/>
          <w:szCs w:val="22"/>
          <w:lang w:val="en-NZ"/>
        </w:rPr>
        <w:t xml:space="preserve">powders are typically in the region of 1-30 nm </w:t>
      </w:r>
      <w:r w:rsidR="00281B3F">
        <w:rPr>
          <w:rFonts w:ascii="Calibri" w:hAnsi="Calibri" w:cs="Calibri"/>
          <w:sz w:val="22"/>
          <w:szCs w:val="22"/>
          <w:lang w:val="en-NZ"/>
        </w:rPr>
        <w:t>[</w:t>
      </w:r>
      <w:r>
        <w:rPr>
          <w:rFonts w:ascii="Calibri" w:hAnsi="Calibri" w:cs="Calibri"/>
          <w:sz w:val="22"/>
          <w:szCs w:val="22"/>
          <w:lang w:val="en-NZ"/>
        </w:rPr>
        <w:t>3</w:t>
      </w:r>
      <w:r w:rsidR="00281B3F">
        <w:rPr>
          <w:rFonts w:ascii="Calibri" w:hAnsi="Calibri" w:cs="Calibri"/>
          <w:sz w:val="22"/>
          <w:szCs w:val="22"/>
          <w:lang w:val="en-NZ"/>
        </w:rPr>
        <w:t>,4]</w:t>
      </w:r>
      <w:r w:rsidR="00DB59B3" w:rsidRPr="000809FF">
        <w:rPr>
          <w:rFonts w:ascii="Calibri" w:hAnsi="Calibri" w:cs="Calibri"/>
          <w:sz w:val="22"/>
          <w:szCs w:val="22"/>
          <w:lang w:val="en-NZ"/>
        </w:rPr>
        <w:t xml:space="preserve">. Such thin oxide layers, because of their low thickness, prevent their effect on splat-substrate bonding from being fully investigated by microscopy techniques. </w:t>
      </w:r>
      <w:r w:rsidR="0018369C" w:rsidRPr="000809FF">
        <w:rPr>
          <w:rFonts w:ascii="Calibri" w:hAnsi="Calibri" w:cs="Calibri"/>
          <w:sz w:val="22"/>
          <w:szCs w:val="22"/>
          <w:lang w:val="en-NZ"/>
        </w:rPr>
        <w:t xml:space="preserve">Hence </w:t>
      </w:r>
      <w:r w:rsidR="009F6BBD" w:rsidRPr="000809FF">
        <w:rPr>
          <w:rFonts w:ascii="Calibri" w:hAnsi="Calibri" w:cs="Calibri"/>
          <w:sz w:val="22"/>
          <w:szCs w:val="22"/>
          <w:lang w:val="en-NZ"/>
        </w:rPr>
        <w:t>alumin</w:t>
      </w:r>
      <w:r w:rsidR="0093607A" w:rsidRPr="000809FF">
        <w:rPr>
          <w:rFonts w:ascii="Calibri" w:hAnsi="Calibri" w:cs="Calibri"/>
          <w:sz w:val="22"/>
          <w:szCs w:val="22"/>
          <w:lang w:val="en-NZ"/>
        </w:rPr>
        <w:t>i</w:t>
      </w:r>
      <w:r w:rsidR="009F6BBD" w:rsidRPr="000809FF">
        <w:rPr>
          <w:rFonts w:ascii="Calibri" w:hAnsi="Calibri" w:cs="Calibri"/>
          <w:sz w:val="22"/>
          <w:szCs w:val="22"/>
          <w:lang w:val="en-NZ"/>
        </w:rPr>
        <w:t xml:space="preserve">um substrates with </w:t>
      </w:r>
      <w:r w:rsidR="000809FF" w:rsidRPr="000809FF">
        <w:rPr>
          <w:rFonts w:ascii="Calibri" w:hAnsi="Calibri" w:cs="Calibri"/>
          <w:sz w:val="22"/>
          <w:szCs w:val="22"/>
          <w:lang w:val="en-NZ"/>
        </w:rPr>
        <w:t xml:space="preserve">600-900 nm </w:t>
      </w:r>
      <w:r w:rsidR="009F6BBD" w:rsidRPr="000809FF">
        <w:rPr>
          <w:rFonts w:ascii="Calibri" w:hAnsi="Calibri" w:cs="Calibri"/>
          <w:sz w:val="22"/>
          <w:szCs w:val="22"/>
          <w:lang w:val="en-NZ"/>
        </w:rPr>
        <w:t xml:space="preserve">thick oxides prepared using hydrothermal and electrochemical oxide pre-treatment methods </w:t>
      </w:r>
      <w:r w:rsidR="000809FF">
        <w:rPr>
          <w:rFonts w:ascii="Calibri" w:hAnsi="Calibri" w:cs="Calibri"/>
          <w:sz w:val="22"/>
          <w:szCs w:val="22"/>
          <w:lang w:val="en-NZ"/>
        </w:rPr>
        <w:t>for</w:t>
      </w:r>
      <w:r w:rsidR="009F6BBD" w:rsidRPr="000809FF">
        <w:rPr>
          <w:rFonts w:ascii="Calibri" w:hAnsi="Calibri" w:cs="Calibri"/>
          <w:sz w:val="22"/>
          <w:szCs w:val="22"/>
          <w:lang w:val="en-NZ"/>
        </w:rPr>
        <w:t xml:space="preserve"> this study. </w:t>
      </w:r>
      <w:proofErr w:type="spellStart"/>
      <w:r w:rsidR="0018369C" w:rsidRPr="000809FF">
        <w:rPr>
          <w:rFonts w:ascii="Calibri" w:hAnsi="Calibri" w:cs="Calibri"/>
          <w:sz w:val="22"/>
          <w:szCs w:val="22"/>
          <w:lang w:val="en-NZ"/>
        </w:rPr>
        <w:t>NiCr</w:t>
      </w:r>
      <w:proofErr w:type="spellEnd"/>
      <w:r w:rsidR="0018369C" w:rsidRPr="000809FF">
        <w:rPr>
          <w:rFonts w:ascii="Calibri" w:hAnsi="Calibri" w:cs="Calibri"/>
          <w:sz w:val="22"/>
          <w:szCs w:val="22"/>
          <w:lang w:val="en-NZ"/>
        </w:rPr>
        <w:t xml:space="preserve"> alloy particles were thermally sprayed using the high velocity air fuel (HVAF) technique onto </w:t>
      </w:r>
      <w:r w:rsidR="000809FF">
        <w:rPr>
          <w:rFonts w:ascii="Calibri" w:hAnsi="Calibri" w:cs="Calibri"/>
          <w:sz w:val="22"/>
          <w:szCs w:val="22"/>
          <w:lang w:val="en-NZ"/>
        </w:rPr>
        <w:t xml:space="preserve">the </w:t>
      </w:r>
      <w:r w:rsidR="0018369C" w:rsidRPr="000809FF">
        <w:rPr>
          <w:rFonts w:ascii="Calibri" w:hAnsi="Calibri" w:cs="Calibri"/>
          <w:sz w:val="22"/>
          <w:szCs w:val="22"/>
          <w:lang w:val="en-NZ"/>
        </w:rPr>
        <w:t>aluminium substrates</w:t>
      </w:r>
      <w:r w:rsidR="00857034" w:rsidRPr="000809FF">
        <w:rPr>
          <w:rFonts w:ascii="Calibri" w:hAnsi="Calibri" w:cs="Calibri"/>
          <w:sz w:val="22"/>
          <w:szCs w:val="22"/>
          <w:lang w:val="en-NZ"/>
        </w:rPr>
        <w:t xml:space="preserve">. </w:t>
      </w:r>
      <w:r w:rsidR="00AF112E" w:rsidRPr="000809FF">
        <w:rPr>
          <w:rFonts w:ascii="Calibri" w:hAnsi="Calibri" w:cs="Calibri"/>
          <w:sz w:val="22"/>
          <w:szCs w:val="22"/>
          <w:lang w:val="en-NZ"/>
        </w:rPr>
        <w:t xml:space="preserve">Individual splats were investigated in detail to search for alterations of the </w:t>
      </w:r>
      <w:r w:rsidR="000809FF">
        <w:rPr>
          <w:rFonts w:ascii="Calibri" w:hAnsi="Calibri" w:cs="Calibri"/>
          <w:sz w:val="22"/>
          <w:szCs w:val="22"/>
          <w:lang w:val="en-NZ"/>
        </w:rPr>
        <w:t xml:space="preserve">surface </w:t>
      </w:r>
      <w:r w:rsidR="00AF112E" w:rsidRPr="000809FF">
        <w:rPr>
          <w:rFonts w:ascii="Calibri" w:hAnsi="Calibri" w:cs="Calibri"/>
          <w:sz w:val="22"/>
          <w:szCs w:val="22"/>
          <w:lang w:val="en-NZ"/>
        </w:rPr>
        <w:t xml:space="preserve">oxide layer from the impact and determine how </w:t>
      </w:r>
      <w:r w:rsidR="000809FF">
        <w:rPr>
          <w:rFonts w:ascii="Calibri" w:hAnsi="Calibri" w:cs="Calibri"/>
          <w:sz w:val="22"/>
          <w:szCs w:val="22"/>
          <w:lang w:val="en-NZ"/>
        </w:rPr>
        <w:t>it affected</w:t>
      </w:r>
      <w:r w:rsidR="00AF112E" w:rsidRPr="000809FF">
        <w:rPr>
          <w:rFonts w:ascii="Calibri" w:hAnsi="Calibri" w:cs="Calibri"/>
          <w:sz w:val="22"/>
          <w:szCs w:val="22"/>
          <w:lang w:val="en-NZ"/>
        </w:rPr>
        <w:t xml:space="preserve"> bonding</w:t>
      </w:r>
      <w:r w:rsidR="00281B3F">
        <w:rPr>
          <w:rFonts w:ascii="Calibri" w:hAnsi="Calibri" w:cs="Calibri"/>
          <w:sz w:val="22"/>
          <w:szCs w:val="22"/>
          <w:lang w:val="en-NZ"/>
        </w:rPr>
        <w:t xml:space="preserve"> </w:t>
      </w:r>
      <w:bookmarkStart w:id="1" w:name="_GoBack"/>
      <w:bookmarkEnd w:id="1"/>
      <w:r w:rsidR="00281B3F">
        <w:rPr>
          <w:rFonts w:ascii="Calibri" w:hAnsi="Calibri" w:cs="Calibri"/>
          <w:sz w:val="22"/>
          <w:szCs w:val="22"/>
          <w:lang w:val="en-NZ"/>
        </w:rPr>
        <w:t>[5]</w:t>
      </w:r>
      <w:r w:rsidR="00AF112E" w:rsidRPr="000809FF">
        <w:rPr>
          <w:rFonts w:ascii="Calibri" w:hAnsi="Calibri" w:cs="Calibri"/>
          <w:sz w:val="22"/>
          <w:szCs w:val="22"/>
          <w:lang w:val="en-NZ"/>
        </w:rPr>
        <w:t>.</w:t>
      </w:r>
    </w:p>
    <w:p w14:paraId="01B31EC0" w14:textId="02A90831" w:rsidR="004832EC" w:rsidRPr="000809FF" w:rsidRDefault="004832EC" w:rsidP="004832EC">
      <w:pPr>
        <w:ind w:left="284" w:right="282"/>
        <w:jc w:val="both"/>
        <w:rPr>
          <w:rFonts w:ascii="Calibri" w:hAnsi="Calibri" w:cs="Calibri"/>
          <w:b/>
          <w:bCs/>
          <w:lang w:val="en-NZ"/>
        </w:rPr>
      </w:pPr>
      <w:r w:rsidRPr="000809FF">
        <w:rPr>
          <w:rFonts w:ascii="Calibri" w:hAnsi="Calibri" w:cs="Calibri"/>
          <w:b/>
          <w:bCs/>
          <w:lang w:val="en-NZ"/>
        </w:rPr>
        <w:t xml:space="preserve">Results </w:t>
      </w:r>
    </w:p>
    <w:p w14:paraId="626FEC68" w14:textId="5D02847D" w:rsidR="004832EC" w:rsidRPr="000809FF" w:rsidRDefault="000809FF" w:rsidP="004832EC">
      <w:pPr>
        <w:ind w:left="284" w:right="282"/>
        <w:jc w:val="both"/>
        <w:rPr>
          <w:rFonts w:ascii="Calibri" w:hAnsi="Calibri" w:cs="Calibri"/>
          <w:sz w:val="22"/>
          <w:szCs w:val="22"/>
          <w:lang w:val="en-NZ"/>
        </w:rPr>
      </w:pPr>
      <w:r w:rsidRPr="000809FF">
        <w:rPr>
          <w:rFonts w:ascii="Calibri" w:hAnsi="Calibri" w:cs="Calibri"/>
          <w:noProof/>
          <w:sz w:val="22"/>
          <w:szCs w:val="22"/>
          <w:lang w:val="en-NZ"/>
        </w:rPr>
        <w:drawing>
          <wp:anchor distT="0" distB="0" distL="114300" distR="114300" simplePos="0" relativeHeight="251659264" behindDoc="0" locked="0" layoutInCell="1" allowOverlap="1" wp14:anchorId="54ADFA6C" wp14:editId="6FD1EC58">
            <wp:simplePos x="0" y="0"/>
            <wp:positionH relativeFrom="column">
              <wp:posOffset>4107358</wp:posOffset>
            </wp:positionH>
            <wp:positionV relativeFrom="paragraph">
              <wp:posOffset>1276985</wp:posOffset>
            </wp:positionV>
            <wp:extent cx="1972800" cy="16992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2800" cy="16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2AE" w:rsidRPr="000809FF">
        <w:rPr>
          <w:rFonts w:ascii="Calibri" w:hAnsi="Calibri" w:cs="Calibri"/>
          <w:sz w:val="22"/>
          <w:szCs w:val="22"/>
          <w:lang w:val="en-NZ"/>
        </w:rPr>
        <w:t>No bonding occurred on the 845 nm thick aluminium oxy-hydroxide layer grown hydrothermally, whereas bonding did occur on a 630 nm aluminium oxide layer grown electrochemically on an aluminium substrate</w:t>
      </w:r>
      <w:r>
        <w:rPr>
          <w:rFonts w:ascii="Calibri" w:hAnsi="Calibri" w:cs="Calibri"/>
          <w:sz w:val="22"/>
          <w:szCs w:val="22"/>
          <w:lang w:val="en-NZ"/>
        </w:rPr>
        <w:t xml:space="preserve"> (Fig a)</w:t>
      </w:r>
      <w:r w:rsidR="003942AE" w:rsidRPr="000809FF">
        <w:rPr>
          <w:rFonts w:ascii="Calibri" w:hAnsi="Calibri" w:cs="Calibri"/>
          <w:sz w:val="22"/>
          <w:szCs w:val="22"/>
          <w:lang w:val="en-NZ"/>
        </w:rPr>
        <w:t>. Cross-sections of bonded solid splats show</w:t>
      </w:r>
      <w:r>
        <w:rPr>
          <w:rFonts w:ascii="Calibri" w:hAnsi="Calibri" w:cs="Calibri"/>
          <w:sz w:val="22"/>
          <w:szCs w:val="22"/>
          <w:lang w:val="en-NZ"/>
        </w:rPr>
        <w:t>ed</w:t>
      </w:r>
      <w:r w:rsidR="003942AE" w:rsidRPr="000809FF">
        <w:rPr>
          <w:rFonts w:ascii="Calibri" w:hAnsi="Calibri" w:cs="Calibri"/>
          <w:sz w:val="22"/>
          <w:szCs w:val="22"/>
          <w:lang w:val="en-NZ"/>
        </w:rPr>
        <w:t xml:space="preserve"> that the oxide had been redistributed during the particle impact but was still present even in the thinnest regions of 20 nm</w:t>
      </w:r>
      <w:r>
        <w:rPr>
          <w:rFonts w:ascii="Calibri" w:hAnsi="Calibri" w:cs="Calibri"/>
          <w:sz w:val="22"/>
          <w:szCs w:val="22"/>
          <w:lang w:val="en-NZ"/>
        </w:rPr>
        <w:t xml:space="preserve"> (Fig b)</w:t>
      </w:r>
      <w:r w:rsidR="003942AE" w:rsidRPr="000809FF">
        <w:rPr>
          <w:rFonts w:ascii="Calibri" w:hAnsi="Calibri" w:cs="Calibri"/>
          <w:sz w:val="22"/>
          <w:szCs w:val="22"/>
          <w:lang w:val="en-NZ"/>
        </w:rPr>
        <w:t xml:space="preserve">. However, cross-sections of bonded molten particles showed that the oxide had separated in several locations allowing metal to metal contact to occur. Hence, penetration of the oxide was aided by additional heat of the molten splats rather than only physical deformation of the substrate and the surface oxide. Cross-sections of bonded particles on the electrochemical oxide substrate including 3D reconstructions of the interfacial oxide show no significant loss of oxide from the substrate or diffusion of the oxide into the </w:t>
      </w:r>
      <w:proofErr w:type="spellStart"/>
      <w:r w:rsidR="003942AE" w:rsidRPr="000809FF">
        <w:rPr>
          <w:rFonts w:ascii="Calibri" w:hAnsi="Calibri" w:cs="Calibri"/>
          <w:sz w:val="22"/>
          <w:szCs w:val="22"/>
          <w:lang w:val="en-NZ"/>
        </w:rPr>
        <w:t>NiCr</w:t>
      </w:r>
      <w:proofErr w:type="spellEnd"/>
      <w:r w:rsidR="003942AE" w:rsidRPr="000809FF">
        <w:rPr>
          <w:rFonts w:ascii="Calibri" w:hAnsi="Calibri" w:cs="Calibri"/>
          <w:sz w:val="22"/>
          <w:szCs w:val="22"/>
          <w:lang w:val="en-NZ"/>
        </w:rPr>
        <w:t xml:space="preserve"> particle. These results strengthen the theory that successful bonding occurs only when the surface oxide is disturbed in the case of solid splats or disrupted in the case of molten splats.</w:t>
      </w:r>
    </w:p>
    <w:p w14:paraId="181C748C" w14:textId="495DB868" w:rsidR="00641190" w:rsidRPr="000809FF" w:rsidRDefault="00045573" w:rsidP="009A4CFF">
      <w:pPr>
        <w:ind w:left="284" w:right="282"/>
        <w:jc w:val="both"/>
        <w:rPr>
          <w:rFonts w:ascii="Calibri" w:hAnsi="Calibri" w:cs="Calibri"/>
          <w:b/>
          <w:bCs/>
          <w:sz w:val="22"/>
          <w:szCs w:val="22"/>
          <w:lang w:val="en-NZ"/>
        </w:rPr>
      </w:pPr>
      <w:r w:rsidRPr="000809FF">
        <w:rPr>
          <w:rFonts w:ascii="Calibri" w:hAnsi="Calibri" w:cs="Calibri"/>
          <w:b/>
          <w:bCs/>
          <w:lang w:val="en-NZ"/>
        </w:rPr>
        <w:t>Conclusion</w:t>
      </w:r>
      <w:r w:rsidRPr="000809FF">
        <w:rPr>
          <w:rFonts w:ascii="Calibri" w:hAnsi="Calibri" w:cs="Calibri"/>
          <w:b/>
          <w:bCs/>
          <w:sz w:val="22"/>
          <w:szCs w:val="22"/>
          <w:lang w:val="en-NZ"/>
        </w:rPr>
        <w:t xml:space="preserve"> </w:t>
      </w:r>
    </w:p>
    <w:p w14:paraId="78677EFD" w14:textId="763201BC" w:rsidR="00857034" w:rsidRPr="000809FF" w:rsidRDefault="003942AE" w:rsidP="00857034">
      <w:pPr>
        <w:ind w:left="284" w:right="282"/>
        <w:jc w:val="both"/>
        <w:rPr>
          <w:rFonts w:ascii="Calibri" w:hAnsi="Calibri" w:cs="Calibri"/>
          <w:sz w:val="22"/>
          <w:szCs w:val="22"/>
          <w:lang w:val="en-NZ"/>
        </w:rPr>
      </w:pPr>
      <w:r w:rsidRPr="000809FF">
        <w:rPr>
          <w:rFonts w:ascii="Calibri" w:hAnsi="Calibri" w:cs="Calibri"/>
          <w:sz w:val="22"/>
          <w:szCs w:val="22"/>
          <w:lang w:val="en-NZ"/>
        </w:rPr>
        <w:t>It was found that during the coating process, the surface oxide remained present at the interface between the particle and the substrate. Redistribution of the oxide over a large surface area occurred due to plastic deformation of the substrate. Successful bonding occurred when small scale oxide redistribution for solid splats or penetration of the oxide material by molten splats is achieved. This result strengthens the theory that successful bonding occurs only when the surface oxide is disturbed.</w:t>
      </w:r>
    </w:p>
    <w:p w14:paraId="193725D9" w14:textId="52D5785E" w:rsidR="005F19FF" w:rsidRPr="000809FF" w:rsidRDefault="005F19FF" w:rsidP="009A4CFF">
      <w:pPr>
        <w:ind w:left="284" w:right="282"/>
        <w:jc w:val="both"/>
        <w:rPr>
          <w:rFonts w:ascii="Calibri" w:hAnsi="Calibri" w:cs="Calibri"/>
          <w:b/>
          <w:lang w:val="en-NZ"/>
        </w:rPr>
      </w:pPr>
      <w:r w:rsidRPr="000809FF">
        <w:rPr>
          <w:rFonts w:ascii="Calibri" w:hAnsi="Calibri" w:cs="Calibri"/>
          <w:b/>
          <w:lang w:val="en-NZ"/>
        </w:rPr>
        <w:t>References</w:t>
      </w:r>
    </w:p>
    <w:p w14:paraId="300EF4D7" w14:textId="1CD89666" w:rsidR="004832EC" w:rsidRPr="000809FF" w:rsidRDefault="004832EC" w:rsidP="00284103">
      <w:pPr>
        <w:numPr>
          <w:ilvl w:val="0"/>
          <w:numId w:val="1"/>
        </w:numPr>
        <w:shd w:val="clear" w:color="auto" w:fill="FFFFFF"/>
        <w:ind w:right="282"/>
        <w:jc w:val="both"/>
        <w:textAlignment w:val="top"/>
        <w:rPr>
          <w:rFonts w:asciiTheme="minorHAnsi" w:hAnsiTheme="minorHAnsi" w:cstheme="minorHAnsi"/>
          <w:sz w:val="22"/>
          <w:szCs w:val="22"/>
          <w:lang w:val="en-NZ" w:eastAsia="en-AU"/>
        </w:rPr>
      </w:pPr>
      <w:r w:rsidRPr="000809FF">
        <w:rPr>
          <w:rFonts w:asciiTheme="minorHAnsi" w:hAnsiTheme="minorHAnsi" w:cstheme="minorHAnsi"/>
          <w:sz w:val="22"/>
          <w:szCs w:val="22"/>
          <w:lang w:val="en-NZ" w:eastAsia="en-AU"/>
        </w:rPr>
        <w:t xml:space="preserve">Van </w:t>
      </w:r>
      <w:proofErr w:type="spellStart"/>
      <w:r w:rsidRPr="000809FF">
        <w:rPr>
          <w:rFonts w:asciiTheme="minorHAnsi" w:hAnsiTheme="minorHAnsi" w:cstheme="minorHAnsi"/>
          <w:sz w:val="22"/>
          <w:szCs w:val="22"/>
          <w:lang w:val="en-NZ" w:eastAsia="en-AU"/>
        </w:rPr>
        <w:t>Steenkiste</w:t>
      </w:r>
      <w:proofErr w:type="spellEnd"/>
      <w:r w:rsidRPr="000809FF">
        <w:rPr>
          <w:rFonts w:asciiTheme="minorHAnsi" w:hAnsiTheme="minorHAnsi" w:cstheme="minorHAnsi"/>
          <w:sz w:val="22"/>
          <w:szCs w:val="22"/>
          <w:lang w:val="en-NZ" w:eastAsia="en-AU"/>
        </w:rPr>
        <w:t xml:space="preserve">, </w:t>
      </w:r>
      <w:r w:rsidR="00D14BBC" w:rsidRPr="000809FF">
        <w:rPr>
          <w:rFonts w:asciiTheme="minorHAnsi" w:hAnsiTheme="minorHAnsi" w:cstheme="minorHAnsi"/>
          <w:sz w:val="22"/>
          <w:szCs w:val="22"/>
          <w:lang w:val="en-NZ" w:eastAsia="en-AU"/>
        </w:rPr>
        <w:t>T.H.</w:t>
      </w:r>
      <w:r w:rsidR="00D14BBC">
        <w:rPr>
          <w:rFonts w:asciiTheme="minorHAnsi" w:hAnsiTheme="minorHAnsi" w:cstheme="minorHAnsi"/>
          <w:sz w:val="22"/>
          <w:szCs w:val="22"/>
          <w:lang w:val="en-NZ" w:eastAsia="en-AU"/>
        </w:rPr>
        <w:t>;</w:t>
      </w:r>
      <w:r w:rsidR="00D14BBC" w:rsidRPr="000809FF">
        <w:rPr>
          <w:rFonts w:asciiTheme="minorHAnsi" w:hAnsiTheme="minorHAnsi" w:cstheme="minorHAnsi"/>
          <w:sz w:val="22"/>
          <w:szCs w:val="22"/>
          <w:lang w:val="en-NZ" w:eastAsia="en-AU"/>
        </w:rPr>
        <w:t xml:space="preserve"> </w:t>
      </w:r>
      <w:r w:rsidRPr="000809FF">
        <w:rPr>
          <w:rFonts w:asciiTheme="minorHAnsi" w:hAnsiTheme="minorHAnsi" w:cstheme="minorHAnsi"/>
          <w:sz w:val="22"/>
          <w:szCs w:val="22"/>
          <w:lang w:val="en-NZ" w:eastAsia="en-AU"/>
        </w:rPr>
        <w:t xml:space="preserve">Smith </w:t>
      </w:r>
      <w:r w:rsidR="00D14BBC" w:rsidRPr="000809FF">
        <w:rPr>
          <w:rFonts w:asciiTheme="minorHAnsi" w:hAnsiTheme="minorHAnsi" w:cstheme="minorHAnsi"/>
          <w:sz w:val="22"/>
          <w:szCs w:val="22"/>
          <w:lang w:val="en-NZ" w:eastAsia="en-AU"/>
        </w:rPr>
        <w:t>J.R.</w:t>
      </w:r>
      <w:r w:rsidR="00D14BBC">
        <w:rPr>
          <w:rFonts w:asciiTheme="minorHAnsi" w:hAnsiTheme="minorHAnsi" w:cstheme="minorHAnsi"/>
          <w:sz w:val="22"/>
          <w:szCs w:val="22"/>
          <w:lang w:val="en-NZ" w:eastAsia="en-AU"/>
        </w:rPr>
        <w:t>;</w:t>
      </w:r>
      <w:r w:rsidR="00D14BBC" w:rsidRPr="000809FF">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&amp;</w:t>
      </w:r>
      <w:r w:rsidRPr="000809FF">
        <w:rPr>
          <w:rFonts w:asciiTheme="minorHAnsi" w:hAnsiTheme="minorHAnsi" w:cstheme="minorHAnsi"/>
          <w:sz w:val="22"/>
          <w:szCs w:val="22"/>
          <w:lang w:val="en-NZ" w:eastAsia="en-AU"/>
        </w:rPr>
        <w:t xml:space="preserve"> </w:t>
      </w:r>
      <w:proofErr w:type="spellStart"/>
      <w:r w:rsidRPr="000809FF">
        <w:rPr>
          <w:rFonts w:asciiTheme="minorHAnsi" w:hAnsiTheme="minorHAnsi" w:cstheme="minorHAnsi"/>
          <w:sz w:val="22"/>
          <w:szCs w:val="22"/>
          <w:lang w:val="en-NZ" w:eastAsia="en-AU"/>
        </w:rPr>
        <w:t>Teets</w:t>
      </w:r>
      <w:proofErr w:type="spellEnd"/>
      <w:r w:rsidR="00D14BBC" w:rsidRPr="00D14BBC">
        <w:rPr>
          <w:rFonts w:asciiTheme="minorHAnsi" w:hAnsiTheme="minorHAnsi" w:cstheme="minorHAnsi"/>
          <w:sz w:val="22"/>
          <w:szCs w:val="22"/>
          <w:lang w:val="en-NZ" w:eastAsia="en-AU"/>
        </w:rPr>
        <w:t xml:space="preserve"> </w:t>
      </w:r>
      <w:r w:rsidR="00D14BBC" w:rsidRPr="000809FF">
        <w:rPr>
          <w:rFonts w:asciiTheme="minorHAnsi" w:hAnsiTheme="minorHAnsi" w:cstheme="minorHAnsi"/>
          <w:sz w:val="22"/>
          <w:szCs w:val="22"/>
          <w:lang w:val="en-NZ" w:eastAsia="en-AU"/>
        </w:rPr>
        <w:t>R.E.</w:t>
      </w:r>
      <w:r w:rsidRPr="000809FF">
        <w:rPr>
          <w:rFonts w:asciiTheme="minorHAnsi" w:hAnsiTheme="minorHAnsi" w:cstheme="minorHAnsi"/>
          <w:sz w:val="22"/>
          <w:szCs w:val="22"/>
          <w:lang w:val="en-NZ" w:eastAsia="en-AU"/>
        </w:rPr>
        <w:t>,</w:t>
      </w:r>
      <w:r w:rsidR="00D14BBC">
        <w:rPr>
          <w:rFonts w:asciiTheme="minorHAnsi" w:hAnsiTheme="minorHAnsi" w:cstheme="minorHAnsi"/>
          <w:sz w:val="22"/>
          <w:szCs w:val="22"/>
          <w:lang w:val="en-NZ" w:eastAsia="en-AU"/>
        </w:rPr>
        <w:t xml:space="preserve"> (2002)</w:t>
      </w:r>
      <w:r w:rsidRPr="000809FF">
        <w:rPr>
          <w:rFonts w:asciiTheme="minorHAnsi" w:hAnsiTheme="minorHAnsi" w:cstheme="minorHAnsi"/>
          <w:sz w:val="22"/>
          <w:szCs w:val="22"/>
          <w:lang w:val="en-NZ" w:eastAsia="en-AU"/>
        </w:rPr>
        <w:t xml:space="preserve"> </w:t>
      </w:r>
      <w:proofErr w:type="spellStart"/>
      <w:r w:rsidRPr="000809FF">
        <w:rPr>
          <w:rFonts w:asciiTheme="minorHAnsi" w:hAnsiTheme="minorHAnsi" w:cstheme="minorHAnsi"/>
          <w:sz w:val="22"/>
          <w:szCs w:val="22"/>
          <w:lang w:val="en-NZ" w:eastAsia="en-AU"/>
        </w:rPr>
        <w:t>Aluminum</w:t>
      </w:r>
      <w:proofErr w:type="spellEnd"/>
      <w:r w:rsidRPr="000809FF">
        <w:rPr>
          <w:rFonts w:asciiTheme="minorHAnsi" w:hAnsiTheme="minorHAnsi" w:cstheme="minorHAnsi"/>
          <w:sz w:val="22"/>
          <w:szCs w:val="22"/>
          <w:lang w:val="en-NZ" w:eastAsia="en-AU"/>
        </w:rPr>
        <w:t xml:space="preserve"> coatings via kinetic spray with relatively large powder particles, Surf. Coat. Technol., 154, </w:t>
      </w:r>
      <w:r w:rsidR="00D14BBC">
        <w:rPr>
          <w:rFonts w:asciiTheme="minorHAnsi" w:hAnsiTheme="minorHAnsi" w:cstheme="minorHAnsi"/>
          <w:sz w:val="22"/>
          <w:szCs w:val="22"/>
          <w:lang w:val="en-NZ" w:eastAsia="en-AU"/>
        </w:rPr>
        <w:t>(</w:t>
      </w:r>
      <w:r w:rsidRPr="000809FF">
        <w:rPr>
          <w:rFonts w:asciiTheme="minorHAnsi" w:hAnsiTheme="minorHAnsi" w:cstheme="minorHAnsi"/>
          <w:sz w:val="22"/>
          <w:szCs w:val="22"/>
          <w:lang w:val="en-NZ" w:eastAsia="en-AU"/>
        </w:rPr>
        <w:t>2-3</w:t>
      </w:r>
      <w:r w:rsidR="00D14BBC">
        <w:rPr>
          <w:rFonts w:asciiTheme="minorHAnsi" w:hAnsiTheme="minorHAnsi" w:cstheme="minorHAnsi"/>
          <w:sz w:val="22"/>
          <w:szCs w:val="22"/>
          <w:lang w:val="en-NZ" w:eastAsia="en-AU"/>
        </w:rPr>
        <w:t>)</w:t>
      </w:r>
      <w:r w:rsidRPr="000809FF">
        <w:rPr>
          <w:rFonts w:asciiTheme="minorHAnsi" w:hAnsiTheme="minorHAnsi" w:cstheme="minorHAnsi"/>
          <w:sz w:val="22"/>
          <w:szCs w:val="22"/>
          <w:lang w:val="en-NZ" w:eastAsia="en-AU"/>
        </w:rPr>
        <w:t xml:space="preserve"> 237-252</w:t>
      </w:r>
    </w:p>
    <w:p w14:paraId="58FAFCF8" w14:textId="3F658976" w:rsidR="004832EC" w:rsidRPr="000809FF" w:rsidRDefault="004832EC" w:rsidP="00CB10A1">
      <w:pPr>
        <w:numPr>
          <w:ilvl w:val="0"/>
          <w:numId w:val="1"/>
        </w:numPr>
        <w:shd w:val="clear" w:color="auto" w:fill="FFFFFF"/>
        <w:ind w:right="282"/>
        <w:jc w:val="both"/>
        <w:textAlignment w:val="top"/>
        <w:rPr>
          <w:rFonts w:asciiTheme="minorHAnsi" w:hAnsiTheme="minorHAnsi" w:cstheme="minorHAnsi"/>
          <w:sz w:val="22"/>
          <w:szCs w:val="22"/>
          <w:lang w:val="en-NZ" w:eastAsia="en-AU"/>
        </w:rPr>
      </w:pPr>
      <w:r w:rsidRPr="000809FF">
        <w:rPr>
          <w:rFonts w:asciiTheme="minorHAnsi" w:hAnsiTheme="minorHAnsi" w:cstheme="minorHAnsi"/>
          <w:sz w:val="22"/>
          <w:szCs w:val="22"/>
          <w:lang w:val="en-NZ" w:eastAsia="en-AU"/>
        </w:rPr>
        <w:t xml:space="preserve">M. </w:t>
      </w:r>
      <w:proofErr w:type="spellStart"/>
      <w:r w:rsidRPr="000809FF">
        <w:rPr>
          <w:rFonts w:asciiTheme="minorHAnsi" w:hAnsiTheme="minorHAnsi" w:cstheme="minorHAnsi"/>
          <w:sz w:val="22"/>
          <w:szCs w:val="22"/>
          <w:lang w:val="en-NZ" w:eastAsia="en-AU"/>
        </w:rPr>
        <w:t>Grujicic</w:t>
      </w:r>
      <w:proofErr w:type="spellEnd"/>
      <w:r w:rsidRPr="000809FF">
        <w:rPr>
          <w:rFonts w:asciiTheme="minorHAnsi" w:hAnsiTheme="minorHAnsi" w:cstheme="minorHAnsi"/>
          <w:sz w:val="22"/>
          <w:szCs w:val="22"/>
          <w:lang w:val="en-NZ" w:eastAsia="en-AU"/>
        </w:rPr>
        <w:t>, J.R.</w:t>
      </w:r>
      <w:r w:rsidR="00D14BBC">
        <w:rPr>
          <w:rFonts w:asciiTheme="minorHAnsi" w:hAnsiTheme="minorHAnsi" w:cstheme="minorHAnsi"/>
          <w:sz w:val="22"/>
          <w:szCs w:val="22"/>
          <w:lang w:val="en-NZ" w:eastAsia="en-AU"/>
        </w:rPr>
        <w:t>;</w:t>
      </w:r>
      <w:r w:rsidRPr="000809FF">
        <w:rPr>
          <w:rFonts w:asciiTheme="minorHAnsi" w:hAnsiTheme="minorHAnsi" w:cstheme="minorHAnsi"/>
          <w:sz w:val="22"/>
          <w:szCs w:val="22"/>
          <w:lang w:val="en-NZ" w:eastAsia="en-AU"/>
        </w:rPr>
        <w:t xml:space="preserve"> Saylor, D.E.</w:t>
      </w:r>
      <w:r w:rsidR="00D14BBC">
        <w:rPr>
          <w:rFonts w:asciiTheme="minorHAnsi" w:hAnsiTheme="minorHAnsi" w:cstheme="minorHAnsi"/>
          <w:sz w:val="22"/>
          <w:szCs w:val="22"/>
          <w:lang w:val="en-NZ" w:eastAsia="en-AU"/>
        </w:rPr>
        <w:t>;</w:t>
      </w:r>
      <w:r w:rsidRPr="000809FF">
        <w:rPr>
          <w:rFonts w:asciiTheme="minorHAnsi" w:hAnsiTheme="minorHAnsi" w:cstheme="minorHAnsi"/>
          <w:sz w:val="22"/>
          <w:szCs w:val="22"/>
          <w:lang w:val="en-NZ" w:eastAsia="en-AU"/>
        </w:rPr>
        <w:t xml:space="preserve"> Beasley, W.S.</w:t>
      </w:r>
      <w:r w:rsidR="00D14BBC">
        <w:rPr>
          <w:rFonts w:asciiTheme="minorHAnsi" w:hAnsiTheme="minorHAnsi" w:cstheme="minorHAnsi"/>
          <w:sz w:val="22"/>
          <w:szCs w:val="22"/>
          <w:lang w:val="en-NZ" w:eastAsia="en-AU"/>
        </w:rPr>
        <w:t>;</w:t>
      </w:r>
      <w:r w:rsidRPr="000809FF">
        <w:rPr>
          <w:rFonts w:asciiTheme="minorHAnsi" w:hAnsiTheme="minorHAnsi" w:cstheme="minorHAnsi"/>
          <w:sz w:val="22"/>
          <w:szCs w:val="22"/>
          <w:lang w:val="en-NZ" w:eastAsia="en-AU"/>
        </w:rPr>
        <w:t xml:space="preserve"> </w:t>
      </w:r>
      <w:proofErr w:type="spellStart"/>
      <w:r w:rsidRPr="000809FF">
        <w:rPr>
          <w:rFonts w:asciiTheme="minorHAnsi" w:hAnsiTheme="minorHAnsi" w:cstheme="minorHAnsi"/>
          <w:sz w:val="22"/>
          <w:szCs w:val="22"/>
          <w:lang w:val="en-NZ" w:eastAsia="en-AU"/>
        </w:rPr>
        <w:t>DeRosset</w:t>
      </w:r>
      <w:proofErr w:type="spellEnd"/>
      <w:r w:rsidRPr="000809FF">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&amp;</w:t>
      </w:r>
      <w:r w:rsidRPr="000809FF">
        <w:rPr>
          <w:rFonts w:asciiTheme="minorHAnsi" w:hAnsiTheme="minorHAnsi" w:cstheme="minorHAnsi"/>
          <w:sz w:val="22"/>
          <w:szCs w:val="22"/>
          <w:lang w:val="en-NZ" w:eastAsia="en-AU"/>
        </w:rPr>
        <w:t xml:space="preserve"> </w:t>
      </w:r>
      <w:proofErr w:type="spellStart"/>
      <w:r w:rsidRPr="000809FF">
        <w:rPr>
          <w:rFonts w:asciiTheme="minorHAnsi" w:hAnsiTheme="minorHAnsi" w:cstheme="minorHAnsi"/>
          <w:sz w:val="22"/>
          <w:szCs w:val="22"/>
          <w:lang w:val="en-NZ" w:eastAsia="en-AU"/>
        </w:rPr>
        <w:t>Helfritch</w:t>
      </w:r>
      <w:proofErr w:type="spellEnd"/>
      <w:r w:rsidRPr="000809FF">
        <w:rPr>
          <w:rFonts w:asciiTheme="minorHAnsi" w:hAnsiTheme="minorHAnsi" w:cstheme="minorHAnsi"/>
          <w:sz w:val="22"/>
          <w:szCs w:val="22"/>
          <w:lang w:val="en-NZ" w:eastAsia="en-AU"/>
        </w:rPr>
        <w:t xml:space="preserve">, </w:t>
      </w:r>
      <w:r w:rsidR="00D14BBC" w:rsidRPr="000809FF">
        <w:rPr>
          <w:rFonts w:asciiTheme="minorHAnsi" w:hAnsiTheme="minorHAnsi" w:cstheme="minorHAnsi"/>
          <w:sz w:val="22"/>
          <w:szCs w:val="22"/>
          <w:lang w:val="en-NZ" w:eastAsia="en-AU"/>
        </w:rPr>
        <w:t>D.</w:t>
      </w:r>
      <w:r w:rsidR="00D14BBC">
        <w:rPr>
          <w:rFonts w:asciiTheme="minorHAnsi" w:hAnsiTheme="minorHAnsi" w:cstheme="minorHAnsi"/>
          <w:sz w:val="22"/>
          <w:szCs w:val="22"/>
          <w:lang w:val="en-NZ" w:eastAsia="en-AU"/>
        </w:rPr>
        <w:t xml:space="preserve"> (2003)</w:t>
      </w:r>
      <w:r w:rsidR="00D14BBC" w:rsidRPr="000809FF">
        <w:rPr>
          <w:rFonts w:asciiTheme="minorHAnsi" w:hAnsiTheme="minorHAnsi" w:cstheme="minorHAnsi"/>
          <w:sz w:val="22"/>
          <w:szCs w:val="22"/>
          <w:lang w:val="en-NZ" w:eastAsia="en-AU"/>
        </w:rPr>
        <w:t xml:space="preserve"> </w:t>
      </w:r>
      <w:r w:rsidRPr="000809FF">
        <w:rPr>
          <w:rFonts w:asciiTheme="minorHAnsi" w:hAnsiTheme="minorHAnsi" w:cstheme="minorHAnsi"/>
          <w:sz w:val="22"/>
          <w:szCs w:val="22"/>
          <w:lang w:val="en-NZ" w:eastAsia="en-AU"/>
        </w:rPr>
        <w:t>Computational analysis of the interfacial bonding between feed-powder particles and the substrate in the cold-gas dynamic-spray process, Appl. Surf. Sci., 219, 211-227</w:t>
      </w:r>
    </w:p>
    <w:p w14:paraId="7B1A0521" w14:textId="65D18EAA" w:rsidR="002914B7" w:rsidRPr="002914B7" w:rsidRDefault="002914B7" w:rsidP="002914B7">
      <w:pPr>
        <w:numPr>
          <w:ilvl w:val="0"/>
          <w:numId w:val="1"/>
        </w:numPr>
        <w:shd w:val="clear" w:color="auto" w:fill="FFFFFF"/>
        <w:ind w:right="282"/>
        <w:jc w:val="both"/>
        <w:textAlignment w:val="top"/>
        <w:rPr>
          <w:rFonts w:asciiTheme="minorHAnsi" w:hAnsiTheme="minorHAnsi" w:cstheme="minorHAnsi"/>
          <w:sz w:val="22"/>
          <w:szCs w:val="22"/>
          <w:lang w:val="en-NZ" w:eastAsia="en-AU"/>
        </w:rPr>
      </w:pPr>
      <w:r w:rsidRPr="002914B7">
        <w:rPr>
          <w:rFonts w:asciiTheme="minorHAnsi" w:hAnsiTheme="minorHAnsi" w:cstheme="minorHAnsi"/>
          <w:sz w:val="22"/>
          <w:szCs w:val="22"/>
          <w:lang w:val="en-NZ" w:eastAsia="en-AU"/>
        </w:rPr>
        <w:t>Trompetter</w:t>
      </w:r>
      <w:r w:rsidR="00D14BBC">
        <w:rPr>
          <w:rFonts w:asciiTheme="minorHAnsi" w:hAnsiTheme="minorHAnsi" w:cstheme="minorHAnsi"/>
          <w:sz w:val="22"/>
          <w:szCs w:val="22"/>
          <w:lang w:val="en-NZ" w:eastAsia="en-AU"/>
        </w:rPr>
        <w:t>,</w:t>
      </w:r>
      <w:r w:rsidR="00D14BBC" w:rsidRPr="00D14BBC">
        <w:rPr>
          <w:rFonts w:asciiTheme="minorHAnsi" w:hAnsiTheme="minorHAnsi" w:cstheme="minorHAnsi"/>
          <w:sz w:val="22"/>
          <w:szCs w:val="22"/>
          <w:lang w:val="en-NZ" w:eastAsia="en-AU"/>
        </w:rPr>
        <w:t xml:space="preserve"> </w:t>
      </w:r>
      <w:r w:rsidR="00D14BBC" w:rsidRPr="002914B7">
        <w:rPr>
          <w:rFonts w:asciiTheme="minorHAnsi" w:hAnsiTheme="minorHAnsi" w:cstheme="minorHAnsi"/>
          <w:sz w:val="22"/>
          <w:szCs w:val="22"/>
          <w:lang w:val="en-NZ" w:eastAsia="en-AU"/>
        </w:rPr>
        <w:t>W.J.</w:t>
      </w:r>
      <w:r w:rsidR="00D14BBC">
        <w:rPr>
          <w:rFonts w:asciiTheme="minorHAnsi" w:hAnsiTheme="minorHAnsi" w:cstheme="minorHAnsi"/>
          <w:sz w:val="22"/>
          <w:szCs w:val="22"/>
          <w:lang w:val="en-NZ" w:eastAsia="en-AU"/>
        </w:rPr>
        <w:t>;</w:t>
      </w:r>
      <w:r w:rsidRPr="002914B7">
        <w:rPr>
          <w:rFonts w:asciiTheme="minorHAnsi" w:hAnsiTheme="minorHAnsi" w:cstheme="minorHAnsi"/>
          <w:sz w:val="22"/>
          <w:szCs w:val="22"/>
          <w:lang w:val="en-NZ" w:eastAsia="en-AU"/>
        </w:rPr>
        <w:t xml:space="preserve"> Markwitz </w:t>
      </w:r>
      <w:r w:rsidR="00D14BBC" w:rsidRPr="002914B7">
        <w:rPr>
          <w:rFonts w:asciiTheme="minorHAnsi" w:hAnsiTheme="minorHAnsi" w:cstheme="minorHAnsi"/>
          <w:sz w:val="22"/>
          <w:szCs w:val="22"/>
          <w:lang w:val="en-NZ" w:eastAsia="en-AU"/>
        </w:rPr>
        <w:t>A.</w:t>
      </w:r>
      <w:r w:rsidR="00D14BBC">
        <w:rPr>
          <w:rFonts w:asciiTheme="minorHAnsi" w:hAnsiTheme="minorHAnsi" w:cstheme="minorHAnsi"/>
          <w:sz w:val="22"/>
          <w:szCs w:val="22"/>
          <w:lang w:val="en-NZ" w:eastAsia="en-AU"/>
        </w:rPr>
        <w:t>;</w:t>
      </w:r>
      <w:r w:rsidR="00D14BBC" w:rsidRPr="002914B7">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&amp;</w:t>
      </w:r>
      <w:r w:rsidRPr="002914B7">
        <w:rPr>
          <w:rFonts w:asciiTheme="minorHAnsi" w:hAnsiTheme="minorHAnsi" w:cstheme="minorHAnsi"/>
          <w:sz w:val="22"/>
          <w:szCs w:val="22"/>
          <w:lang w:val="en-NZ" w:eastAsia="en-AU"/>
        </w:rPr>
        <w:t xml:space="preserve"> Hyland</w:t>
      </w:r>
      <w:r w:rsidR="00D14BBC" w:rsidRPr="00D14BBC">
        <w:rPr>
          <w:rFonts w:asciiTheme="minorHAnsi" w:hAnsiTheme="minorHAnsi" w:cstheme="minorHAnsi"/>
          <w:sz w:val="22"/>
          <w:szCs w:val="22"/>
          <w:lang w:val="en-NZ" w:eastAsia="en-AU"/>
        </w:rPr>
        <w:t xml:space="preserve"> </w:t>
      </w:r>
      <w:r w:rsidR="00D14BBC" w:rsidRPr="002914B7">
        <w:rPr>
          <w:rFonts w:asciiTheme="minorHAnsi" w:hAnsiTheme="minorHAnsi" w:cstheme="minorHAnsi"/>
          <w:sz w:val="22"/>
          <w:szCs w:val="22"/>
          <w:lang w:val="en-NZ" w:eastAsia="en-AU"/>
        </w:rPr>
        <w:t>M.</w:t>
      </w:r>
      <w:r w:rsidR="00D14BBC">
        <w:rPr>
          <w:rFonts w:asciiTheme="minorHAnsi" w:hAnsiTheme="minorHAnsi" w:cstheme="minorHAnsi"/>
          <w:sz w:val="22"/>
          <w:szCs w:val="22"/>
          <w:lang w:val="en-NZ" w:eastAsia="en-AU"/>
        </w:rPr>
        <w:t xml:space="preserve"> (2001)</w:t>
      </w:r>
      <w:r w:rsidRPr="002914B7">
        <w:rPr>
          <w:rFonts w:asciiTheme="minorHAnsi" w:hAnsiTheme="minorHAnsi" w:cstheme="minorHAnsi"/>
          <w:sz w:val="22"/>
          <w:szCs w:val="22"/>
          <w:lang w:val="en-NZ" w:eastAsia="en-AU"/>
        </w:rPr>
        <w:t xml:space="preserve"> Use of IBA techniques to characterize high velocity spray coatings, Modern Phys. Lett., B15, 1428-1436</w:t>
      </w:r>
    </w:p>
    <w:p w14:paraId="3043AA9E" w14:textId="54A2AE2A" w:rsidR="002914B7" w:rsidRPr="002914B7" w:rsidRDefault="002914B7" w:rsidP="002914B7">
      <w:pPr>
        <w:numPr>
          <w:ilvl w:val="0"/>
          <w:numId w:val="1"/>
        </w:numPr>
        <w:shd w:val="clear" w:color="auto" w:fill="FFFFFF"/>
        <w:ind w:right="282"/>
        <w:jc w:val="both"/>
        <w:textAlignment w:val="top"/>
        <w:rPr>
          <w:rFonts w:asciiTheme="minorHAnsi" w:hAnsiTheme="minorHAnsi" w:cstheme="minorHAnsi"/>
          <w:sz w:val="22"/>
          <w:szCs w:val="22"/>
          <w:lang w:val="en-NZ" w:eastAsia="en-AU"/>
        </w:rPr>
      </w:pPr>
      <w:r w:rsidRPr="002914B7">
        <w:rPr>
          <w:rFonts w:asciiTheme="minorHAnsi" w:hAnsiTheme="minorHAnsi" w:cstheme="minorHAnsi"/>
          <w:sz w:val="22"/>
          <w:szCs w:val="22"/>
          <w:lang w:val="en-NZ" w:eastAsia="en-AU"/>
        </w:rPr>
        <w:t>Trompetter</w:t>
      </w:r>
      <w:r w:rsidR="00D14BBC">
        <w:rPr>
          <w:rFonts w:asciiTheme="minorHAnsi" w:hAnsiTheme="minorHAnsi" w:cstheme="minorHAnsi"/>
          <w:sz w:val="22"/>
          <w:szCs w:val="22"/>
          <w:lang w:val="en-NZ" w:eastAsia="en-AU"/>
        </w:rPr>
        <w:t>,</w:t>
      </w:r>
      <w:r w:rsidR="0047493A" w:rsidRPr="0047493A">
        <w:rPr>
          <w:rFonts w:asciiTheme="minorHAnsi" w:hAnsiTheme="minorHAnsi" w:cstheme="minorHAnsi"/>
          <w:sz w:val="22"/>
          <w:szCs w:val="22"/>
          <w:lang w:val="en-NZ" w:eastAsia="en-AU"/>
        </w:rPr>
        <w:t xml:space="preserve"> </w:t>
      </w:r>
      <w:r w:rsidR="0047493A" w:rsidRPr="002914B7">
        <w:rPr>
          <w:rFonts w:asciiTheme="minorHAnsi" w:hAnsiTheme="minorHAnsi" w:cstheme="minorHAnsi"/>
          <w:sz w:val="22"/>
          <w:szCs w:val="22"/>
          <w:lang w:val="en-NZ" w:eastAsia="en-AU"/>
        </w:rPr>
        <w:t>W.J.</w:t>
      </w:r>
      <w:r w:rsidR="00D14BBC">
        <w:rPr>
          <w:rFonts w:asciiTheme="minorHAnsi" w:hAnsiTheme="minorHAnsi" w:cstheme="minorHAnsi"/>
          <w:sz w:val="22"/>
          <w:szCs w:val="22"/>
          <w:lang w:val="en-NZ" w:eastAsia="en-AU"/>
        </w:rPr>
        <w:t>;</w:t>
      </w:r>
      <w:r w:rsidRPr="002914B7">
        <w:rPr>
          <w:rFonts w:asciiTheme="minorHAnsi" w:hAnsiTheme="minorHAnsi" w:cstheme="minorHAnsi"/>
          <w:sz w:val="22"/>
          <w:szCs w:val="22"/>
          <w:lang w:val="en-NZ" w:eastAsia="en-AU"/>
        </w:rPr>
        <w:t xml:space="preserve"> Markwitz </w:t>
      </w:r>
      <w:r w:rsidR="00D14BBC" w:rsidRPr="002914B7">
        <w:rPr>
          <w:rFonts w:asciiTheme="minorHAnsi" w:hAnsiTheme="minorHAnsi" w:cstheme="minorHAnsi"/>
          <w:sz w:val="22"/>
          <w:szCs w:val="22"/>
          <w:lang w:val="en-NZ" w:eastAsia="en-AU"/>
        </w:rPr>
        <w:t>A.</w:t>
      </w:r>
      <w:r w:rsidR="00D14BBC">
        <w:rPr>
          <w:rFonts w:asciiTheme="minorHAnsi" w:hAnsiTheme="minorHAnsi" w:cstheme="minorHAnsi"/>
          <w:sz w:val="22"/>
          <w:szCs w:val="22"/>
          <w:lang w:val="en-NZ" w:eastAsia="en-AU"/>
        </w:rPr>
        <w:t>;</w:t>
      </w:r>
      <w:r w:rsidR="00D14BBC" w:rsidRPr="002914B7">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&amp;</w:t>
      </w:r>
      <w:r w:rsidRPr="002914B7">
        <w:rPr>
          <w:rFonts w:asciiTheme="minorHAnsi" w:hAnsiTheme="minorHAnsi" w:cstheme="minorHAnsi"/>
          <w:sz w:val="22"/>
          <w:szCs w:val="22"/>
          <w:lang w:val="en-NZ" w:eastAsia="en-AU"/>
        </w:rPr>
        <w:t xml:space="preserve"> Hyland</w:t>
      </w:r>
      <w:r w:rsidR="00D14BBC" w:rsidRPr="00D14BBC">
        <w:rPr>
          <w:rFonts w:asciiTheme="minorHAnsi" w:hAnsiTheme="minorHAnsi" w:cstheme="minorHAnsi"/>
          <w:sz w:val="22"/>
          <w:szCs w:val="22"/>
          <w:lang w:val="en-NZ" w:eastAsia="en-AU"/>
        </w:rPr>
        <w:t xml:space="preserve"> </w:t>
      </w:r>
      <w:r w:rsidR="00D14BBC" w:rsidRPr="002914B7">
        <w:rPr>
          <w:rFonts w:asciiTheme="minorHAnsi" w:hAnsiTheme="minorHAnsi" w:cstheme="minorHAnsi"/>
          <w:sz w:val="22"/>
          <w:szCs w:val="22"/>
          <w:lang w:val="en-NZ" w:eastAsia="en-AU"/>
        </w:rPr>
        <w:t>M.</w:t>
      </w:r>
      <w:r w:rsidR="00D14BBC">
        <w:rPr>
          <w:rFonts w:asciiTheme="minorHAnsi" w:hAnsiTheme="minorHAnsi" w:cstheme="minorHAnsi"/>
          <w:sz w:val="22"/>
          <w:szCs w:val="22"/>
          <w:lang w:val="en-NZ" w:eastAsia="en-AU"/>
        </w:rPr>
        <w:t xml:space="preserve"> (2002)</w:t>
      </w:r>
      <w:r w:rsidRPr="002914B7">
        <w:rPr>
          <w:rFonts w:asciiTheme="minorHAnsi" w:hAnsiTheme="minorHAnsi" w:cstheme="minorHAnsi"/>
          <w:sz w:val="22"/>
          <w:szCs w:val="22"/>
          <w:lang w:val="en-NZ" w:eastAsia="en-AU"/>
        </w:rPr>
        <w:t xml:space="preserve"> Role of oxides in high velocity thermal spray coatings, </w:t>
      </w:r>
      <w:proofErr w:type="spellStart"/>
      <w:r w:rsidRPr="002914B7">
        <w:rPr>
          <w:rFonts w:asciiTheme="minorHAnsi" w:hAnsiTheme="minorHAnsi" w:cstheme="minorHAnsi"/>
          <w:sz w:val="22"/>
          <w:szCs w:val="22"/>
          <w:lang w:val="en-NZ" w:eastAsia="en-AU"/>
        </w:rPr>
        <w:t>Nucl</w:t>
      </w:r>
      <w:proofErr w:type="spellEnd"/>
      <w:r w:rsidRPr="002914B7">
        <w:rPr>
          <w:rFonts w:asciiTheme="minorHAnsi" w:hAnsiTheme="minorHAnsi" w:cstheme="minorHAnsi"/>
          <w:sz w:val="22"/>
          <w:szCs w:val="22"/>
          <w:lang w:val="en-NZ" w:eastAsia="en-AU"/>
        </w:rPr>
        <w:t xml:space="preserve">. </w:t>
      </w:r>
      <w:proofErr w:type="spellStart"/>
      <w:r w:rsidRPr="002914B7">
        <w:rPr>
          <w:rFonts w:asciiTheme="minorHAnsi" w:hAnsiTheme="minorHAnsi" w:cstheme="minorHAnsi"/>
          <w:sz w:val="22"/>
          <w:szCs w:val="22"/>
          <w:lang w:val="en-NZ" w:eastAsia="en-AU"/>
        </w:rPr>
        <w:t>Instrum</w:t>
      </w:r>
      <w:proofErr w:type="spellEnd"/>
      <w:r w:rsidRPr="002914B7">
        <w:rPr>
          <w:rFonts w:asciiTheme="minorHAnsi" w:hAnsiTheme="minorHAnsi" w:cstheme="minorHAnsi"/>
          <w:sz w:val="22"/>
          <w:szCs w:val="22"/>
          <w:lang w:val="en-NZ" w:eastAsia="en-AU"/>
        </w:rPr>
        <w:t>. Methods, B190, 518-523</w:t>
      </w:r>
    </w:p>
    <w:p w14:paraId="19A0A76F" w14:textId="1F727173" w:rsidR="00F97620" w:rsidRPr="001B26DC" w:rsidRDefault="001B26DC" w:rsidP="001B26DC">
      <w:pPr>
        <w:numPr>
          <w:ilvl w:val="0"/>
          <w:numId w:val="1"/>
        </w:numPr>
        <w:shd w:val="clear" w:color="auto" w:fill="FFFFFF"/>
        <w:ind w:right="282"/>
        <w:jc w:val="both"/>
        <w:textAlignment w:val="top"/>
        <w:rPr>
          <w:rFonts w:ascii="Calibri" w:hAnsi="Calibri" w:cs="Calibri"/>
          <w:sz w:val="22"/>
          <w:szCs w:val="22"/>
          <w:lang w:val="en-NZ"/>
        </w:rPr>
      </w:pPr>
      <w:r w:rsidRPr="001B26DC">
        <w:rPr>
          <w:rFonts w:asciiTheme="minorHAnsi" w:hAnsiTheme="minorHAnsi" w:cstheme="minorHAnsi"/>
          <w:sz w:val="22"/>
          <w:szCs w:val="22"/>
          <w:lang w:val="en-NZ" w:eastAsia="en-AU"/>
        </w:rPr>
        <w:t xml:space="preserve">Trompetter, W.J.; Hyland, M.; </w:t>
      </w:r>
      <w:proofErr w:type="spellStart"/>
      <w:r w:rsidRPr="001B26DC">
        <w:rPr>
          <w:rFonts w:asciiTheme="minorHAnsi" w:hAnsiTheme="minorHAnsi" w:cstheme="minorHAnsi"/>
          <w:sz w:val="22"/>
          <w:szCs w:val="22"/>
          <w:lang w:val="en-NZ" w:eastAsia="en-AU"/>
        </w:rPr>
        <w:t>McGrouther</w:t>
      </w:r>
      <w:proofErr w:type="spellEnd"/>
      <w:r w:rsidRPr="001B26DC">
        <w:rPr>
          <w:rFonts w:asciiTheme="minorHAnsi" w:hAnsiTheme="minorHAnsi" w:cstheme="minorHAnsi"/>
          <w:sz w:val="22"/>
          <w:szCs w:val="22"/>
          <w:lang w:val="en-NZ" w:eastAsia="en-AU"/>
        </w:rPr>
        <w:t xml:space="preserve">, D.; Munroe, P.; </w:t>
      </w:r>
      <w:r w:rsidR="00D14BBC">
        <w:rPr>
          <w:rFonts w:asciiTheme="minorHAnsi" w:hAnsiTheme="minorHAnsi" w:cstheme="minorHAnsi"/>
          <w:sz w:val="22"/>
          <w:szCs w:val="22"/>
          <w:lang w:val="en-NZ" w:eastAsia="en-AU"/>
        </w:rPr>
        <w:t xml:space="preserve">&amp; </w:t>
      </w:r>
      <w:r w:rsidRPr="001B26DC">
        <w:rPr>
          <w:rFonts w:asciiTheme="minorHAnsi" w:hAnsiTheme="minorHAnsi" w:cstheme="minorHAnsi"/>
          <w:sz w:val="22"/>
          <w:szCs w:val="22"/>
          <w:lang w:val="en-NZ" w:eastAsia="en-AU"/>
        </w:rPr>
        <w:t xml:space="preserve">Markwitz, A. </w:t>
      </w:r>
      <w:r w:rsidR="00D14BBC">
        <w:rPr>
          <w:rFonts w:asciiTheme="minorHAnsi" w:hAnsiTheme="minorHAnsi" w:cstheme="minorHAnsi"/>
          <w:sz w:val="22"/>
          <w:szCs w:val="22"/>
          <w:lang w:val="en-NZ" w:eastAsia="en-AU"/>
        </w:rPr>
        <w:t>(</w:t>
      </w:r>
      <w:r w:rsidRPr="001B26DC">
        <w:rPr>
          <w:rFonts w:asciiTheme="minorHAnsi" w:hAnsiTheme="minorHAnsi" w:cstheme="minorHAnsi"/>
          <w:sz w:val="22"/>
          <w:szCs w:val="22"/>
          <w:lang w:val="en-NZ" w:eastAsia="en-AU"/>
        </w:rPr>
        <w:t>2010</w:t>
      </w:r>
      <w:r w:rsidR="00D14BBC">
        <w:rPr>
          <w:rFonts w:asciiTheme="minorHAnsi" w:hAnsiTheme="minorHAnsi" w:cstheme="minorHAnsi"/>
          <w:sz w:val="22"/>
          <w:szCs w:val="22"/>
          <w:lang w:val="en-NZ" w:eastAsia="en-AU"/>
        </w:rPr>
        <w:t>)</w:t>
      </w:r>
      <w:r w:rsidRPr="001B26DC">
        <w:rPr>
          <w:rFonts w:asciiTheme="minorHAnsi" w:hAnsiTheme="minorHAnsi" w:cstheme="minorHAnsi"/>
          <w:sz w:val="22"/>
          <w:szCs w:val="22"/>
          <w:lang w:val="en-NZ" w:eastAsia="en-AU"/>
        </w:rPr>
        <w:t xml:space="preserve"> The effect of substrate surface oxides on the bonding of </w:t>
      </w:r>
      <w:proofErr w:type="spellStart"/>
      <w:r w:rsidRPr="001B26DC">
        <w:rPr>
          <w:rFonts w:asciiTheme="minorHAnsi" w:hAnsiTheme="minorHAnsi" w:cstheme="minorHAnsi"/>
          <w:sz w:val="22"/>
          <w:szCs w:val="22"/>
          <w:lang w:val="en-NZ" w:eastAsia="en-AU"/>
        </w:rPr>
        <w:t>NiCr</w:t>
      </w:r>
      <w:proofErr w:type="spellEnd"/>
      <w:r w:rsidRPr="001B26DC">
        <w:rPr>
          <w:rFonts w:asciiTheme="minorHAnsi" w:hAnsiTheme="minorHAnsi" w:cstheme="minorHAnsi"/>
          <w:sz w:val="22"/>
          <w:szCs w:val="22"/>
          <w:lang w:val="en-NZ" w:eastAsia="en-AU"/>
        </w:rPr>
        <w:t xml:space="preserve"> alloy particles HVAF thermally sprayed onto aluminium substrates. J</w:t>
      </w:r>
      <w:r w:rsidR="00D14BBC">
        <w:rPr>
          <w:rFonts w:asciiTheme="minorHAnsi" w:hAnsiTheme="minorHAnsi" w:cstheme="minorHAnsi"/>
          <w:sz w:val="22"/>
          <w:szCs w:val="22"/>
          <w:lang w:val="en-NZ" w:eastAsia="en-AU"/>
        </w:rPr>
        <w:t>.</w:t>
      </w:r>
      <w:r w:rsidRPr="001B26DC">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T</w:t>
      </w:r>
      <w:r w:rsidRPr="001B26DC">
        <w:rPr>
          <w:rFonts w:asciiTheme="minorHAnsi" w:hAnsiTheme="minorHAnsi" w:cstheme="minorHAnsi"/>
          <w:sz w:val="22"/>
          <w:szCs w:val="22"/>
          <w:lang w:val="en-NZ" w:eastAsia="en-AU"/>
        </w:rPr>
        <w:t>herm</w:t>
      </w:r>
      <w:r w:rsidR="00D14BBC">
        <w:rPr>
          <w:rFonts w:asciiTheme="minorHAnsi" w:hAnsiTheme="minorHAnsi" w:cstheme="minorHAnsi"/>
          <w:sz w:val="22"/>
          <w:szCs w:val="22"/>
          <w:lang w:val="en-NZ" w:eastAsia="en-AU"/>
        </w:rPr>
        <w:t>.</w:t>
      </w:r>
      <w:r w:rsidRPr="001B26DC">
        <w:rPr>
          <w:rFonts w:asciiTheme="minorHAnsi" w:hAnsiTheme="minorHAnsi" w:cstheme="minorHAnsi"/>
          <w:sz w:val="22"/>
          <w:szCs w:val="22"/>
          <w:lang w:val="en-NZ" w:eastAsia="en-AU"/>
        </w:rPr>
        <w:t xml:space="preserve"> </w:t>
      </w:r>
      <w:r w:rsidR="00D14BBC">
        <w:rPr>
          <w:rFonts w:asciiTheme="minorHAnsi" w:hAnsiTheme="minorHAnsi" w:cstheme="minorHAnsi"/>
          <w:sz w:val="22"/>
          <w:szCs w:val="22"/>
          <w:lang w:val="en-NZ" w:eastAsia="en-AU"/>
        </w:rPr>
        <w:t>S</w:t>
      </w:r>
      <w:r w:rsidRPr="001B26DC">
        <w:rPr>
          <w:rFonts w:asciiTheme="minorHAnsi" w:hAnsiTheme="minorHAnsi" w:cstheme="minorHAnsi"/>
          <w:sz w:val="22"/>
          <w:szCs w:val="22"/>
          <w:lang w:val="en-NZ" w:eastAsia="en-AU"/>
        </w:rPr>
        <w:t xml:space="preserve">pray </w:t>
      </w:r>
      <w:r w:rsidR="00D14BBC">
        <w:rPr>
          <w:rFonts w:asciiTheme="minorHAnsi" w:hAnsiTheme="minorHAnsi" w:cstheme="minorHAnsi"/>
          <w:sz w:val="22"/>
          <w:szCs w:val="22"/>
          <w:lang w:val="en-NZ" w:eastAsia="en-AU"/>
        </w:rPr>
        <w:t>T</w:t>
      </w:r>
      <w:r w:rsidRPr="001B26DC">
        <w:rPr>
          <w:rFonts w:asciiTheme="minorHAnsi" w:hAnsiTheme="minorHAnsi" w:cstheme="minorHAnsi"/>
          <w:sz w:val="22"/>
          <w:szCs w:val="22"/>
          <w:lang w:val="en-NZ" w:eastAsia="en-AU"/>
        </w:rPr>
        <w:t>ech</w:t>
      </w:r>
      <w:r w:rsidR="00D14BBC">
        <w:rPr>
          <w:rFonts w:asciiTheme="minorHAnsi" w:hAnsiTheme="minorHAnsi" w:cstheme="minorHAnsi"/>
          <w:sz w:val="22"/>
          <w:szCs w:val="22"/>
          <w:lang w:val="en-NZ" w:eastAsia="en-AU"/>
        </w:rPr>
        <w:t>.</w:t>
      </w:r>
      <w:r w:rsidRPr="001B26DC">
        <w:rPr>
          <w:rFonts w:asciiTheme="minorHAnsi" w:hAnsiTheme="minorHAnsi" w:cstheme="minorHAnsi"/>
          <w:sz w:val="22"/>
          <w:szCs w:val="22"/>
          <w:lang w:val="en-NZ" w:eastAsia="en-AU"/>
        </w:rPr>
        <w:t xml:space="preserve"> 19</w:t>
      </w:r>
      <w:r w:rsidR="00D14BBC">
        <w:rPr>
          <w:rFonts w:asciiTheme="minorHAnsi" w:hAnsiTheme="minorHAnsi" w:cstheme="minorHAnsi"/>
          <w:sz w:val="22"/>
          <w:szCs w:val="22"/>
          <w:lang w:val="en-NZ" w:eastAsia="en-AU"/>
        </w:rPr>
        <w:t xml:space="preserve">, </w:t>
      </w:r>
      <w:r w:rsidRPr="001B26DC">
        <w:rPr>
          <w:rFonts w:asciiTheme="minorHAnsi" w:hAnsiTheme="minorHAnsi" w:cstheme="minorHAnsi"/>
          <w:sz w:val="22"/>
          <w:szCs w:val="22"/>
          <w:lang w:val="en-NZ" w:eastAsia="en-AU"/>
        </w:rPr>
        <w:t>(5) 1024-1</w:t>
      </w:r>
      <w:r>
        <w:rPr>
          <w:rFonts w:asciiTheme="minorHAnsi" w:hAnsiTheme="minorHAnsi" w:cstheme="minorHAnsi"/>
          <w:sz w:val="22"/>
          <w:szCs w:val="22"/>
          <w:lang w:val="en-NZ" w:eastAsia="en-AU"/>
        </w:rPr>
        <w:t>031</w:t>
      </w:r>
    </w:p>
    <w:sectPr w:rsidR="00F97620" w:rsidRPr="001B26DC"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6BB"/>
    <w:rsid w:val="0004118E"/>
    <w:rsid w:val="00045573"/>
    <w:rsid w:val="000809FF"/>
    <w:rsid w:val="000A6D19"/>
    <w:rsid w:val="0018369C"/>
    <w:rsid w:val="001A21AD"/>
    <w:rsid w:val="001B26DC"/>
    <w:rsid w:val="002078AD"/>
    <w:rsid w:val="002226BB"/>
    <w:rsid w:val="00225236"/>
    <w:rsid w:val="002272B0"/>
    <w:rsid w:val="00281B3F"/>
    <w:rsid w:val="002914B7"/>
    <w:rsid w:val="00300B92"/>
    <w:rsid w:val="0030585E"/>
    <w:rsid w:val="003866C6"/>
    <w:rsid w:val="00387491"/>
    <w:rsid w:val="003942AE"/>
    <w:rsid w:val="00447188"/>
    <w:rsid w:val="0047493A"/>
    <w:rsid w:val="004832EC"/>
    <w:rsid w:val="00483B05"/>
    <w:rsid w:val="004878D2"/>
    <w:rsid w:val="004E28B9"/>
    <w:rsid w:val="004E5450"/>
    <w:rsid w:val="005226A8"/>
    <w:rsid w:val="0055229D"/>
    <w:rsid w:val="00562D19"/>
    <w:rsid w:val="00586298"/>
    <w:rsid w:val="0059609A"/>
    <w:rsid w:val="00597659"/>
    <w:rsid w:val="005A6B34"/>
    <w:rsid w:val="005E48A2"/>
    <w:rsid w:val="005F19FF"/>
    <w:rsid w:val="00641190"/>
    <w:rsid w:val="006448F3"/>
    <w:rsid w:val="006B34FE"/>
    <w:rsid w:val="006B3866"/>
    <w:rsid w:val="00711813"/>
    <w:rsid w:val="00724E3C"/>
    <w:rsid w:val="00726637"/>
    <w:rsid w:val="00743C46"/>
    <w:rsid w:val="0078752E"/>
    <w:rsid w:val="007E3434"/>
    <w:rsid w:val="00807B9B"/>
    <w:rsid w:val="00857034"/>
    <w:rsid w:val="008909C9"/>
    <w:rsid w:val="0093607A"/>
    <w:rsid w:val="00947B77"/>
    <w:rsid w:val="00997C34"/>
    <w:rsid w:val="009A4CFF"/>
    <w:rsid w:val="009B2641"/>
    <w:rsid w:val="009E2228"/>
    <w:rsid w:val="009F06D6"/>
    <w:rsid w:val="009F6BBD"/>
    <w:rsid w:val="00A266B4"/>
    <w:rsid w:val="00AF112E"/>
    <w:rsid w:val="00BC5FCC"/>
    <w:rsid w:val="00BF0732"/>
    <w:rsid w:val="00C60A71"/>
    <w:rsid w:val="00CC165A"/>
    <w:rsid w:val="00D14BBC"/>
    <w:rsid w:val="00D55F3B"/>
    <w:rsid w:val="00DA2731"/>
    <w:rsid w:val="00DB4497"/>
    <w:rsid w:val="00DB59B3"/>
    <w:rsid w:val="00DC0ABB"/>
    <w:rsid w:val="00DF1C8E"/>
    <w:rsid w:val="00E419E9"/>
    <w:rsid w:val="00EF12F3"/>
    <w:rsid w:val="00F26BBE"/>
    <w:rsid w:val="00F97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3746</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Bill Trompetter</cp:lastModifiedBy>
  <cp:revision>2</cp:revision>
  <cp:lastPrinted>2013-06-13T05:15:00Z</cp:lastPrinted>
  <dcterms:created xsi:type="dcterms:W3CDTF">2019-09-02T10:41:00Z</dcterms:created>
  <dcterms:modified xsi:type="dcterms:W3CDTF">2019-09-02T10:41:00Z</dcterms:modified>
</cp:coreProperties>
</file>