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2927E59E" w:rsidR="00711813" w:rsidRPr="00DF1C8E" w:rsidRDefault="00AC4B9E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r>
        <w:rPr>
          <w:rFonts w:ascii="Calibri" w:hAnsi="Calibri" w:cs="Calibri"/>
          <w:b/>
          <w:sz w:val="28"/>
          <w:szCs w:val="28"/>
          <w:lang w:val="en-AU"/>
        </w:rPr>
        <w:t xml:space="preserve">High aspect ratio </w:t>
      </w:r>
      <w:r w:rsidRPr="00AC4B9E">
        <w:rPr>
          <w:rFonts w:ascii="Calibri" w:hAnsi="Calibri" w:cs="Calibri"/>
          <w:b/>
          <w:sz w:val="28"/>
          <w:szCs w:val="28"/>
          <w:lang w:val="en-AU"/>
        </w:rPr>
        <w:t>β-Ga</w:t>
      </w:r>
      <w:r w:rsidRPr="00AC4B9E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Pr="00AC4B9E">
        <w:rPr>
          <w:rFonts w:ascii="Calibri" w:hAnsi="Calibri" w:cs="Calibri"/>
          <w:b/>
          <w:sz w:val="28"/>
          <w:szCs w:val="28"/>
          <w:lang w:val="en-AU"/>
        </w:rPr>
        <w:t>O</w:t>
      </w:r>
      <w:r w:rsidRPr="00AC4B9E">
        <w:rPr>
          <w:rFonts w:ascii="Calibri" w:hAnsi="Calibri" w:cs="Calibri"/>
          <w:b/>
          <w:sz w:val="28"/>
          <w:szCs w:val="28"/>
          <w:vertAlign w:val="subscript"/>
          <w:lang w:val="en-AU"/>
        </w:rPr>
        <w:t>3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nanostructures: </w:t>
      </w:r>
      <w:proofErr w:type="spellStart"/>
      <w:r>
        <w:rPr>
          <w:rFonts w:ascii="Calibri" w:hAnsi="Calibri" w:cs="Calibri"/>
          <w:b/>
          <w:sz w:val="28"/>
          <w:szCs w:val="28"/>
          <w:lang w:val="en-AU"/>
        </w:rPr>
        <w:t>MacEtch</w:t>
      </w:r>
      <w:proofErr w:type="spellEnd"/>
      <w:r>
        <w:rPr>
          <w:rFonts w:ascii="Calibri" w:hAnsi="Calibri" w:cs="Calibri"/>
          <w:b/>
          <w:sz w:val="28"/>
          <w:szCs w:val="28"/>
          <w:lang w:val="en-AU"/>
        </w:rPr>
        <w:t>, Passivation, and</w:t>
      </w:r>
      <w:r w:rsidRPr="00AC4B9E">
        <w:rPr>
          <w:rFonts w:ascii="Calibri" w:hAnsi="Calibri" w:cs="Calibri"/>
          <w:b/>
          <w:sz w:val="28"/>
          <w:szCs w:val="28"/>
          <w:lang w:val="en-AU"/>
        </w:rPr>
        <w:t xml:space="preserve"> Devices</w:t>
      </w:r>
      <w:r w:rsidR="00BF1626">
        <w:rPr>
          <w:rFonts w:ascii="Calibri" w:hAnsi="Calibri" w:cs="Calibri"/>
          <w:b/>
          <w:sz w:val="28"/>
          <w:szCs w:val="28"/>
          <w:lang w:val="en-AU"/>
        </w:rPr>
        <w:t xml:space="preserve"> </w:t>
      </w:r>
    </w:p>
    <w:bookmarkEnd w:id="0"/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30A2B88" w:rsidR="00DF1C8E" w:rsidRPr="005F19FF" w:rsidRDefault="00AC4B9E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Hsien-Chih Huang, Clarence Chan, Julian Michaels, and Xiuling Li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7AFF6E38" w:rsidR="00711813" w:rsidRPr="006B3866" w:rsidRDefault="00711813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>Dep</w:t>
      </w:r>
      <w:r w:rsidR="008909C9" w:rsidRPr="006B3866">
        <w:rPr>
          <w:rFonts w:ascii="Calibri" w:hAnsi="Calibri" w:cs="Calibri"/>
          <w:sz w:val="22"/>
          <w:szCs w:val="22"/>
          <w:lang w:val="en-AU"/>
        </w:rPr>
        <w:t>artment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C4B9E">
        <w:rPr>
          <w:rFonts w:ascii="Calibri" w:hAnsi="Calibri" w:cs="Calibri"/>
          <w:sz w:val="22"/>
          <w:szCs w:val="22"/>
          <w:lang w:val="en-AU"/>
        </w:rPr>
        <w:t>of Electrical and Computer Engineering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proofErr w:type="spellStart"/>
      <w:r w:rsidR="00AC4B9E">
        <w:rPr>
          <w:rFonts w:ascii="Calibri" w:hAnsi="Calibri" w:cs="Calibri"/>
          <w:sz w:val="22"/>
          <w:szCs w:val="22"/>
          <w:lang w:val="en-AU"/>
        </w:rPr>
        <w:t>Holonyak</w:t>
      </w:r>
      <w:proofErr w:type="spellEnd"/>
      <w:r w:rsidR="00AC4B9E">
        <w:rPr>
          <w:rFonts w:ascii="Calibri" w:hAnsi="Calibri" w:cs="Calibri"/>
          <w:sz w:val="22"/>
          <w:szCs w:val="22"/>
          <w:lang w:val="en-AU"/>
        </w:rPr>
        <w:t xml:space="preserve"> Micro and Nanotechnology Laboratory, University of Illinois, Urbana, IL 61822, USA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43022B55" w:rsidR="00711813" w:rsidRPr="00021516" w:rsidRDefault="005942E2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sz w:val="22"/>
          <w:szCs w:val="22"/>
          <w:lang w:val="en-AU"/>
        </w:rPr>
        <w:t>Motivation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>β-Ga</w:t>
      </w:r>
      <w:r w:rsidR="008869C9" w:rsidRPr="008869C9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>O</w:t>
      </w:r>
      <w:r w:rsidR="008869C9" w:rsidRPr="008869C9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 xml:space="preserve">, with an ultra-wide bandgap (UWB) of ~ 4.6 – 4.9 eV and bulk substrate availability, has drawn enormous interests in the power electronics </w:t>
      </w:r>
      <w:r w:rsidR="008869C9">
        <w:rPr>
          <w:rFonts w:ascii="Calibri" w:hAnsi="Calibri" w:cs="Calibri"/>
          <w:bCs/>
          <w:sz w:val="22"/>
          <w:szCs w:val="22"/>
          <w:lang w:val="en-AU"/>
        </w:rPr>
        <w:t xml:space="preserve">and solar-blind optoelectronics 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>community. Fabricating high-aspect-ratio β-Ga</w:t>
      </w:r>
      <w:r w:rsidR="008869C9" w:rsidRPr="008869C9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>O</w:t>
      </w:r>
      <w:r w:rsidR="008869C9" w:rsidRPr="008869C9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 xml:space="preserve"> 3D nanostructures without surface damage is essential for next-generation </w:t>
      </w:r>
      <w:r w:rsidR="008869C9">
        <w:rPr>
          <w:rFonts w:ascii="Calibri" w:hAnsi="Calibri" w:cs="Calibri"/>
          <w:bCs/>
          <w:sz w:val="22"/>
          <w:szCs w:val="22"/>
          <w:lang w:val="en-AU"/>
        </w:rPr>
        <w:t>high power and high speed devices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8869C9">
        <w:rPr>
          <w:rFonts w:ascii="Calibri" w:hAnsi="Calibri" w:cs="Calibri"/>
          <w:bCs/>
          <w:sz w:val="22"/>
          <w:szCs w:val="22"/>
          <w:lang w:val="en-AU"/>
        </w:rPr>
        <w:t>However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 xml:space="preserve">, dry etch typically damages the surface due to </w:t>
      </w:r>
      <w:r w:rsidR="008869C9">
        <w:rPr>
          <w:rFonts w:ascii="Calibri" w:hAnsi="Calibri" w:cs="Calibri"/>
          <w:bCs/>
          <w:sz w:val="22"/>
          <w:szCs w:val="22"/>
          <w:lang w:val="en-AU"/>
        </w:rPr>
        <w:t xml:space="preserve">the </w:t>
      </w:r>
      <w:r w:rsidR="008869C9" w:rsidRPr="008869C9">
        <w:rPr>
          <w:rFonts w:ascii="Calibri" w:hAnsi="Calibri" w:cs="Calibri"/>
          <w:bCs/>
          <w:sz w:val="22"/>
          <w:szCs w:val="22"/>
          <w:lang w:val="en-AU"/>
        </w:rPr>
        <w:t>high-energy ions, while most wet etching techniques can only produce very limited aspect ratios.</w:t>
      </w:r>
      <w:r w:rsidR="008869C9" w:rsidRPr="008869C9">
        <w:rPr>
          <w:rFonts w:ascii="Calibri" w:hAnsi="Calibri" w:cs="Calibri"/>
          <w:b/>
          <w:bCs/>
          <w:sz w:val="22"/>
          <w:szCs w:val="22"/>
          <w:lang w:val="en-AU"/>
        </w:rPr>
        <w:t xml:space="preserve"> </w:t>
      </w:r>
    </w:p>
    <w:p w14:paraId="4194454A" w14:textId="73D4A083" w:rsidR="00045573" w:rsidRPr="00021516" w:rsidRDefault="00045573" w:rsidP="00021516">
      <w:pPr>
        <w:ind w:right="282"/>
        <w:jc w:val="both"/>
        <w:rPr>
          <w:rFonts w:ascii="Calibri" w:hAnsi="Calibri" w:cs="Calibri"/>
          <w:b/>
          <w:bCs/>
          <w:lang w:val="en-AU"/>
        </w:rPr>
      </w:pPr>
    </w:p>
    <w:p w14:paraId="70330504" w14:textId="454528FB" w:rsidR="00711813" w:rsidRPr="000A6D19" w:rsidRDefault="00711813" w:rsidP="00C578C1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  <w:r w:rsidR="00021516">
        <w:rPr>
          <w:rFonts w:ascii="Calibri" w:hAnsi="Calibri" w:cs="Calibri"/>
          <w:b/>
          <w:bCs/>
          <w:lang w:val="en-AU"/>
        </w:rPr>
        <w:t xml:space="preserve"> </w:t>
      </w:r>
      <w:r w:rsidR="00021516">
        <w:rPr>
          <w:rFonts w:ascii="Calibri" w:hAnsi="Calibri" w:cs="Calibri"/>
          <w:bCs/>
          <w:sz w:val="22"/>
          <w:szCs w:val="22"/>
          <w:lang w:val="en-AU"/>
        </w:rPr>
        <w:t>Metal-assisted chemical etch (</w:t>
      </w:r>
      <w:proofErr w:type="spellStart"/>
      <w:r w:rsidR="00021516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021516">
        <w:rPr>
          <w:rFonts w:ascii="Calibri" w:hAnsi="Calibri" w:cs="Calibri"/>
          <w:bCs/>
          <w:sz w:val="22"/>
          <w:szCs w:val="22"/>
          <w:lang w:val="en-AU"/>
        </w:rPr>
        <w:t>)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is an unorthodox anisotropic wet etching method, that defies the isotropic nature of wet etch through local catalysis effect and enables site-controlled semiconductor nanostructure fabrication with unpresented aspect ratio (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 xml:space="preserve">e.g.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&gt; 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>2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00:1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 xml:space="preserve"> for Si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 and versatility.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S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ince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it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was first </w:t>
      </w:r>
      <w:r w:rsidR="00767518">
        <w:rPr>
          <w:rFonts w:ascii="Calibri" w:hAnsi="Calibri" w:cs="Calibri"/>
          <w:bCs/>
          <w:sz w:val="22"/>
          <w:szCs w:val="22"/>
          <w:lang w:val="en-AU"/>
        </w:rPr>
        <w:t>developed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 for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open-circuit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porous silicon formation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[1],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catalyst-site-specific </w:t>
      </w:r>
      <w:proofErr w:type="spellStart"/>
      <w:r w:rsidR="00EE7EDB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EE7EDB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has enabled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the formation of nanostructures of a broad range of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semiconductors, including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silicon,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germanium, III-As, III-P, III-N,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SiC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, and oxides, as well as 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 xml:space="preserve">some of their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heterostructures. </w:t>
      </w:r>
      <w:r w:rsidR="00767518">
        <w:rPr>
          <w:rFonts w:ascii="Calibri" w:hAnsi="Calibri" w:cs="Calibri"/>
          <w:bCs/>
          <w:sz w:val="22"/>
          <w:szCs w:val="22"/>
          <w:lang w:val="en-AU"/>
        </w:rPr>
        <w:t xml:space="preserve">The versatility of </w:t>
      </w:r>
      <w:proofErr w:type="spellStart"/>
      <w:r w:rsidR="00767518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767518">
        <w:rPr>
          <w:rFonts w:ascii="Calibri" w:hAnsi="Calibri" w:cs="Calibri"/>
          <w:bCs/>
          <w:sz w:val="22"/>
          <w:szCs w:val="22"/>
          <w:lang w:val="en-AU"/>
        </w:rPr>
        <w:t xml:space="preserve"> is also evident in the unique characteristics of different types of </w:t>
      </w:r>
      <w:proofErr w:type="spellStart"/>
      <w:r w:rsidR="00767518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767518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Inverse-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(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i-MacEtch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 allows the formation of atomically smooth sidewalls; magnetic-field guided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(h-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 enables 3D control of the etching trajectory; Self-Anchored Catalyst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(SAC-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 promotes the sidewall verticality for large via by using porous catalyst; UV-assisted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(UV-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 makes plasma-free wide-bandgap semiconductor etch possible; and the ultimate vapor phase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(VP-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), while maintaining the damage-free nature, truly takes the technology towards scalability and manufacturability, including the successful demonstration of CMOS compatible titanium nitride 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>(</w:t>
      </w:r>
      <w:proofErr w:type="spellStart"/>
      <w:r w:rsidR="00C578C1">
        <w:rPr>
          <w:rFonts w:ascii="Calibri" w:hAnsi="Calibri" w:cs="Calibri"/>
          <w:bCs/>
          <w:sz w:val="22"/>
          <w:szCs w:val="22"/>
          <w:lang w:val="en-AU"/>
        </w:rPr>
        <w:t>TiN</w:t>
      </w:r>
      <w:proofErr w:type="spellEnd"/>
      <w:r w:rsidR="00C578C1">
        <w:rPr>
          <w:rFonts w:ascii="Calibri" w:hAnsi="Calibri" w:cs="Calibri"/>
          <w:bCs/>
          <w:sz w:val="22"/>
          <w:szCs w:val="22"/>
          <w:lang w:val="en-AU"/>
        </w:rPr>
        <w:t xml:space="preserve">)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catalyzed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etch.  The simplicity, versatility, manufacturability, and realistic potential of 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make it well-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position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ed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>to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E7EDB" w:rsidRPr="001D62F5">
        <w:rPr>
          <w:rFonts w:ascii="Calibri" w:hAnsi="Calibri" w:cs="Calibri"/>
          <w:bCs/>
          <w:sz w:val="22"/>
          <w:szCs w:val="22"/>
          <w:lang w:val="en-AU"/>
        </w:rPr>
        <w:t xml:space="preserve">enhance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or replace </w:t>
      </w:r>
      <w:r w:rsidR="00EE7EDB" w:rsidRPr="001D62F5">
        <w:rPr>
          <w:rFonts w:ascii="Calibri" w:hAnsi="Calibri" w:cs="Calibri"/>
          <w:bCs/>
          <w:sz w:val="22"/>
          <w:szCs w:val="22"/>
          <w:lang w:val="en-AU"/>
        </w:rPr>
        <w:t xml:space="preserve">dry etch methods </w:t>
      </w:r>
      <w:r w:rsidR="00EE7EDB">
        <w:rPr>
          <w:rFonts w:ascii="Calibri" w:hAnsi="Calibri" w:cs="Calibri"/>
          <w:bCs/>
          <w:sz w:val="22"/>
          <w:szCs w:val="22"/>
          <w:lang w:val="en-AU"/>
        </w:rPr>
        <w:t xml:space="preserve">for </w:t>
      </w:r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future generation of 3D transistors, through-silicon-</w:t>
      </w:r>
      <w:proofErr w:type="spellStart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vias</w:t>
      </w:r>
      <w:proofErr w:type="spellEnd"/>
      <w:r w:rsidR="001D62F5" w:rsidRPr="001D62F5">
        <w:rPr>
          <w:rFonts w:ascii="Calibri" w:hAnsi="Calibri" w:cs="Calibri"/>
          <w:bCs/>
          <w:sz w:val="22"/>
          <w:szCs w:val="22"/>
          <w:lang w:val="en-AU"/>
        </w:rPr>
        <w:t>, trench memory, thermoelectric, detectors, and photovoltaic devices.</w:t>
      </w:r>
      <w:r w:rsidR="00C578C1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</w:p>
    <w:p w14:paraId="70546230" w14:textId="77777777" w:rsidR="00045573" w:rsidRPr="006B3866" w:rsidRDefault="0004557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13A8AFE1" w:rsidR="00711813" w:rsidRDefault="00711813" w:rsidP="009A4CFF">
      <w:pPr>
        <w:ind w:left="284" w:right="282"/>
        <w:jc w:val="both"/>
        <w:rPr>
          <w:rFonts w:ascii="Calibri" w:hAnsi="Calibri" w:cs="Calibri"/>
          <w:bCs/>
          <w:sz w:val="22"/>
          <w:szCs w:val="22"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 xml:space="preserve">In this talk, 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β-Ga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>nano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fin arrays by inverse metal-assisted chemical etching (</w:t>
      </w:r>
      <w:proofErr w:type="spellStart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), under UV light irradiation, with a high aspect ratio and excellent surfaces quality are 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>presented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. The strongly crystal-orientation-dependent etching behaviours are found and three kinds of vertical structures are formed after the </w:t>
      </w:r>
      <w:proofErr w:type="spellStart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process. The Schottky barrier heights (SBHs) between platinum (Pt) and different </w:t>
      </w:r>
      <w:proofErr w:type="spellStart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-formed β-Ga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surfaces and sidewalls are found to decrease as the aspect ratio of the β-Ga2O3 structure increases. This 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>is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attributed to the varying oxygen composition on the surface after </w:t>
      </w:r>
      <w:proofErr w:type="spellStart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, as shown by the XPS and TEM examination. Very little hysteresis has been observed in the capacitance-voltage characteristics of the 3D Pt/ Al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/ β-Ga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1D62F5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MOS capacitor structures, and the lowest interface trap density extracted from etched interfaces is only 2.73×10</w:t>
      </w:r>
      <w:r w:rsidR="001D62F5" w:rsidRPr="00021516">
        <w:rPr>
          <w:rFonts w:ascii="Calibri" w:hAnsi="Calibri" w:cs="Calibri"/>
          <w:bCs/>
          <w:sz w:val="22"/>
          <w:szCs w:val="22"/>
          <w:vertAlign w:val="superscript"/>
          <w:lang w:val="en-AU"/>
        </w:rPr>
        <w:t>11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cm</w:t>
      </w:r>
      <w:r w:rsidR="001D62F5" w:rsidRPr="00021516">
        <w:rPr>
          <w:rFonts w:ascii="Calibri" w:hAnsi="Calibri" w:cs="Calibri"/>
          <w:bCs/>
          <w:sz w:val="22"/>
          <w:szCs w:val="22"/>
          <w:vertAlign w:val="superscript"/>
          <w:lang w:val="en-AU"/>
        </w:rPr>
        <w:t>-2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-eV</w:t>
      </w:r>
      <w:r w:rsidR="001D62F5" w:rsidRPr="00021516">
        <w:rPr>
          <w:rFonts w:ascii="Calibri" w:hAnsi="Calibri" w:cs="Calibri"/>
          <w:bCs/>
          <w:sz w:val="22"/>
          <w:szCs w:val="22"/>
          <w:vertAlign w:val="superscript"/>
          <w:lang w:val="en-AU"/>
        </w:rPr>
        <w:t>-1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, which is comparable to </w:t>
      </w:r>
      <w:r w:rsidR="001D62F5">
        <w:rPr>
          <w:rFonts w:ascii="Calibri" w:hAnsi="Calibri" w:cs="Calibri"/>
          <w:bCs/>
          <w:sz w:val="22"/>
          <w:szCs w:val="22"/>
          <w:lang w:val="en-AU"/>
        </w:rPr>
        <w:t>those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 xml:space="preserve"> of other published values of unetched </w:t>
      </w:r>
      <w:r w:rsidR="006F133C" w:rsidRPr="00021516">
        <w:rPr>
          <w:rFonts w:ascii="Calibri" w:hAnsi="Calibri" w:cs="Calibri"/>
          <w:bCs/>
          <w:sz w:val="22"/>
          <w:szCs w:val="22"/>
          <w:lang w:val="en-AU"/>
        </w:rPr>
        <w:t>β-Ga</w:t>
      </w:r>
      <w:r w:rsidR="006F133C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6F133C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6F133C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1D62F5" w:rsidRPr="00021516">
        <w:rPr>
          <w:rFonts w:ascii="Calibri" w:hAnsi="Calibri" w:cs="Calibri"/>
          <w:bCs/>
          <w:sz w:val="22"/>
          <w:szCs w:val="22"/>
          <w:lang w:val="en-AU"/>
        </w:rPr>
        <w:t>surfaces.</w:t>
      </w:r>
      <w:r w:rsidR="006F133C">
        <w:rPr>
          <w:rFonts w:ascii="Calibri" w:hAnsi="Calibri" w:cs="Calibri"/>
          <w:bCs/>
          <w:sz w:val="22"/>
          <w:szCs w:val="22"/>
          <w:lang w:val="en-AU"/>
        </w:rPr>
        <w:t xml:space="preserve"> Epitaxial regrowth of (</w:t>
      </w:r>
      <w:proofErr w:type="spellStart"/>
      <w:r w:rsidR="006F133C">
        <w:rPr>
          <w:rFonts w:ascii="Calibri" w:hAnsi="Calibri" w:cs="Calibri"/>
          <w:bCs/>
          <w:sz w:val="22"/>
          <w:szCs w:val="22"/>
          <w:lang w:val="en-AU"/>
        </w:rPr>
        <w:t>AlGa</w:t>
      </w:r>
      <w:proofErr w:type="spellEnd"/>
      <w:r w:rsidR="006F133C">
        <w:rPr>
          <w:rFonts w:ascii="Calibri" w:hAnsi="Calibri" w:cs="Calibri"/>
          <w:bCs/>
          <w:sz w:val="22"/>
          <w:szCs w:val="22"/>
          <w:lang w:val="en-AU"/>
        </w:rPr>
        <w:t>)</w:t>
      </w:r>
      <w:r w:rsidR="006F133C" w:rsidRPr="006F133C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6F133C">
        <w:rPr>
          <w:rFonts w:ascii="Calibri" w:hAnsi="Calibri" w:cs="Calibri"/>
          <w:bCs/>
          <w:sz w:val="22"/>
          <w:szCs w:val="22"/>
          <w:lang w:val="en-AU"/>
        </w:rPr>
        <w:t>O</w:t>
      </w:r>
      <w:r w:rsidR="006F133C" w:rsidRPr="006F133C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6F133C">
        <w:rPr>
          <w:rFonts w:ascii="Calibri" w:hAnsi="Calibri" w:cs="Calibri"/>
          <w:bCs/>
          <w:sz w:val="22"/>
          <w:szCs w:val="22"/>
          <w:lang w:val="en-AU"/>
        </w:rPr>
        <w:t xml:space="preserve"> on the </w:t>
      </w:r>
      <w:proofErr w:type="spellStart"/>
      <w:r w:rsidR="006F133C">
        <w:rPr>
          <w:rFonts w:ascii="Calibri" w:hAnsi="Calibri" w:cs="Calibri"/>
          <w:bCs/>
          <w:sz w:val="22"/>
          <w:szCs w:val="22"/>
          <w:lang w:val="en-AU"/>
        </w:rPr>
        <w:t>MacEtch</w:t>
      </w:r>
      <w:proofErr w:type="spellEnd"/>
      <w:r w:rsidR="006F133C">
        <w:rPr>
          <w:rFonts w:ascii="Calibri" w:hAnsi="Calibri" w:cs="Calibri"/>
          <w:bCs/>
          <w:sz w:val="22"/>
          <w:szCs w:val="22"/>
          <w:lang w:val="en-AU"/>
        </w:rPr>
        <w:t xml:space="preserve">-produced 3D </w:t>
      </w:r>
      <w:r w:rsidR="006F133C" w:rsidRPr="00021516">
        <w:rPr>
          <w:rFonts w:ascii="Calibri" w:hAnsi="Calibri" w:cs="Calibri"/>
          <w:bCs/>
          <w:sz w:val="22"/>
          <w:szCs w:val="22"/>
          <w:lang w:val="en-AU"/>
        </w:rPr>
        <w:t>β-Ga</w:t>
      </w:r>
      <w:r w:rsidR="006F133C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6F133C" w:rsidRPr="000215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6F133C" w:rsidRPr="00021516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6F133C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F666F">
        <w:rPr>
          <w:rFonts w:ascii="Calibri" w:hAnsi="Calibri" w:cs="Calibri"/>
          <w:bCs/>
          <w:sz w:val="22"/>
          <w:szCs w:val="22"/>
          <w:lang w:val="en-AU"/>
        </w:rPr>
        <w:t xml:space="preserve">nanostructures </w:t>
      </w:r>
      <w:r w:rsidR="006F133C">
        <w:rPr>
          <w:rFonts w:ascii="Calibri" w:hAnsi="Calibri" w:cs="Calibri"/>
          <w:bCs/>
          <w:sz w:val="22"/>
          <w:szCs w:val="22"/>
          <w:lang w:val="en-AU"/>
        </w:rPr>
        <w:t xml:space="preserve">will also be discussed. </w:t>
      </w:r>
    </w:p>
    <w:p w14:paraId="496FF586" w14:textId="672AE4A7" w:rsidR="00C578C1" w:rsidRDefault="00C578C1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</w:p>
    <w:p w14:paraId="7392C5BD" w14:textId="7DFB6B3A" w:rsidR="00C578C1" w:rsidRPr="005942E2" w:rsidRDefault="00C578C1" w:rsidP="005942E2">
      <w:pPr>
        <w:ind w:left="284" w:right="282"/>
        <w:jc w:val="both"/>
        <w:rPr>
          <w:rFonts w:ascii="Calibri" w:hAnsi="Calibri" w:cs="Calibri"/>
          <w:bCs/>
          <w:lang w:val="en-AU"/>
        </w:rPr>
      </w:pPr>
      <w:r>
        <w:rPr>
          <w:rFonts w:ascii="Calibri" w:hAnsi="Calibri" w:cs="Calibri"/>
          <w:b/>
          <w:bCs/>
          <w:lang w:val="en-AU"/>
        </w:rPr>
        <w:t xml:space="preserve">Acknowledgement </w:t>
      </w:r>
      <w:r w:rsidRPr="00C578C1">
        <w:rPr>
          <w:rFonts w:ascii="Calibri" w:hAnsi="Calibri" w:cs="Calibri"/>
          <w:bCs/>
          <w:lang w:val="en-AU"/>
        </w:rPr>
        <w:t xml:space="preserve">This work was </w:t>
      </w:r>
      <w:r>
        <w:rPr>
          <w:rFonts w:ascii="Calibri" w:hAnsi="Calibri" w:cs="Calibri"/>
          <w:bCs/>
          <w:lang w:val="en-AU"/>
        </w:rPr>
        <w:t>supported in part by NSF ECCS</w:t>
      </w:r>
      <w:r w:rsidR="005942E2">
        <w:rPr>
          <w:rFonts w:ascii="Calibri" w:hAnsi="Calibri" w:cs="Calibri"/>
          <w:bCs/>
          <w:lang w:val="en-AU"/>
        </w:rPr>
        <w:t xml:space="preserve"> 18-09946 and a grant from ZJUI.</w:t>
      </w:r>
    </w:p>
    <w:p w14:paraId="766DA9A5" w14:textId="41AB5E48" w:rsidR="004E5450" w:rsidRDefault="004E5450" w:rsidP="006F133C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5F2849A0" w14:textId="34F0CA17" w:rsidR="001D62F5" w:rsidRDefault="001D62F5" w:rsidP="00EE7EDB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Li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X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Bohn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W. </w:t>
      </w:r>
      <w:r w:rsidR="00DC0ABB" w:rsidRPr="006B386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2000</w:t>
      </w:r>
      <w:r w:rsidR="00DC0ABB" w:rsidRPr="006B3866">
        <w:rPr>
          <w:rFonts w:asciiTheme="minorHAnsi" w:hAnsiTheme="minorHAnsi" w:cstheme="minorHAnsi"/>
          <w:sz w:val="22"/>
          <w:szCs w:val="22"/>
        </w:rPr>
        <w:t>).</w:t>
      </w:r>
      <w:r w:rsidR="00EE7EDB" w:rsidRPr="00EE7EDB">
        <w:t xml:space="preserve"> </w:t>
      </w:r>
      <w:r w:rsidR="00EE7EDB" w:rsidRPr="00EE7EDB">
        <w:rPr>
          <w:rFonts w:asciiTheme="minorHAnsi" w:hAnsiTheme="minorHAnsi" w:cstheme="minorHAnsi"/>
          <w:sz w:val="22"/>
          <w:szCs w:val="22"/>
        </w:rPr>
        <w:t>Metal-assisted Chemical Etching in HF/H2O2 Produces Porous</w:t>
      </w:r>
      <w:r w:rsidR="00EE7EDB">
        <w:rPr>
          <w:rFonts w:asciiTheme="minorHAnsi" w:hAnsiTheme="minorHAnsi" w:cstheme="minorHAnsi"/>
          <w:sz w:val="22"/>
          <w:szCs w:val="22"/>
        </w:rPr>
        <w:t xml:space="preserve"> Silicon", </w:t>
      </w:r>
      <w:r w:rsidR="00EE7EDB" w:rsidRPr="00EE7EDB">
        <w:rPr>
          <w:rFonts w:asciiTheme="minorHAnsi" w:hAnsiTheme="minorHAnsi" w:cstheme="minorHAnsi"/>
          <w:i/>
          <w:sz w:val="22"/>
          <w:szCs w:val="22"/>
        </w:rPr>
        <w:t>Appl. Phys. Lett.</w:t>
      </w:r>
      <w:r w:rsidR="00EE7EDB">
        <w:rPr>
          <w:rFonts w:asciiTheme="minorHAnsi" w:hAnsiTheme="minorHAnsi" w:cstheme="minorHAnsi"/>
          <w:sz w:val="22"/>
          <w:szCs w:val="22"/>
        </w:rPr>
        <w:t xml:space="preserve"> </w:t>
      </w:r>
      <w:r w:rsidR="00EE7EDB" w:rsidRPr="00EE7EDB">
        <w:rPr>
          <w:rFonts w:asciiTheme="minorHAnsi" w:hAnsiTheme="minorHAnsi" w:cstheme="minorHAnsi"/>
          <w:sz w:val="22"/>
          <w:szCs w:val="22"/>
        </w:rPr>
        <w:t>77, 2572</w:t>
      </w:r>
      <w:r w:rsidR="00EE7EDB">
        <w:rPr>
          <w:rFonts w:asciiTheme="minorHAnsi" w:hAnsiTheme="minorHAnsi" w:cstheme="minorHAnsi"/>
          <w:sz w:val="22"/>
          <w:szCs w:val="22"/>
        </w:rPr>
        <w:t>.</w:t>
      </w:r>
      <w:r w:rsidR="00EE7EDB" w:rsidRPr="00EE7E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0A76F" w14:textId="07AD0515" w:rsidR="00F97620" w:rsidRPr="00C578C1" w:rsidRDefault="00EE7EDB" w:rsidP="00C578C1">
      <w:pPr>
        <w:numPr>
          <w:ilvl w:val="0"/>
          <w:numId w:val="1"/>
        </w:num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EE7EDB">
        <w:rPr>
          <w:rFonts w:asciiTheme="minorHAnsi" w:hAnsiTheme="minorHAnsi" w:cstheme="minorHAnsi"/>
          <w:sz w:val="22"/>
          <w:szCs w:val="22"/>
          <w:lang w:eastAsia="en-AU"/>
        </w:rPr>
        <w:t>Huang, H.-C.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Kim, 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>M.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Zhan, X.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EE7EDB">
        <w:rPr>
          <w:rFonts w:asciiTheme="minorHAnsi" w:hAnsiTheme="minorHAnsi" w:cstheme="minorHAnsi"/>
          <w:sz w:val="22"/>
          <w:szCs w:val="22"/>
          <w:lang w:eastAsia="en-AU"/>
        </w:rPr>
        <w:t>Chabak</w:t>
      </w:r>
      <w:proofErr w:type="spellEnd"/>
      <w:r w:rsidRPr="00EE7EDB">
        <w:rPr>
          <w:rFonts w:asciiTheme="minorHAnsi" w:hAnsiTheme="minorHAnsi" w:cstheme="minorHAnsi"/>
          <w:sz w:val="22"/>
          <w:szCs w:val="22"/>
          <w:lang w:eastAsia="en-AU"/>
        </w:rPr>
        <w:t>, K.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Kim, J. D.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proofErr w:type="spellStart"/>
      <w:r w:rsidRPr="00EE7EDB">
        <w:rPr>
          <w:rFonts w:asciiTheme="minorHAnsi" w:hAnsiTheme="minorHAnsi" w:cstheme="minorHAnsi"/>
          <w:sz w:val="22"/>
          <w:szCs w:val="22"/>
          <w:lang w:eastAsia="en-AU"/>
        </w:rPr>
        <w:t>Kvit</w:t>
      </w:r>
      <w:proofErr w:type="spellEnd"/>
      <w:r w:rsidRPr="00EE7EDB">
        <w:rPr>
          <w:rFonts w:asciiTheme="minorHAnsi" w:hAnsiTheme="minorHAnsi" w:cstheme="minorHAnsi"/>
          <w:sz w:val="22"/>
          <w:szCs w:val="22"/>
          <w:lang w:eastAsia="en-AU"/>
        </w:rPr>
        <w:t>, A.</w:t>
      </w:r>
      <w:r>
        <w:rPr>
          <w:rFonts w:asciiTheme="minorHAnsi" w:hAnsiTheme="minorHAnsi" w:cstheme="minorHAnsi"/>
          <w:sz w:val="22"/>
          <w:szCs w:val="22"/>
          <w:lang w:eastAsia="en-AU"/>
        </w:rPr>
        <w:t>;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Liu, D.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Ma, Z.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Zuo, J.-M.</w:t>
      </w:r>
      <w:r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and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Li, 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X. 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(2019) 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>“High Aspect Ratio β-Ga</w:t>
      </w:r>
      <w:r w:rsidRPr="00EE7EDB">
        <w:rPr>
          <w:rFonts w:asciiTheme="minorHAnsi" w:hAnsiTheme="minorHAnsi" w:cstheme="minorHAnsi"/>
          <w:sz w:val="22"/>
          <w:szCs w:val="22"/>
          <w:vertAlign w:val="subscript"/>
          <w:lang w:eastAsia="en-AU"/>
        </w:rPr>
        <w:t>2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>O</w:t>
      </w:r>
      <w:r w:rsidRPr="00EE7EDB">
        <w:rPr>
          <w:rFonts w:asciiTheme="minorHAnsi" w:hAnsiTheme="minorHAnsi" w:cstheme="minorHAnsi"/>
          <w:sz w:val="22"/>
          <w:szCs w:val="22"/>
          <w:vertAlign w:val="subscript"/>
          <w:lang w:eastAsia="en-AU"/>
        </w:rPr>
        <w:t>3</w:t>
      </w:r>
      <w:r w:rsidRPr="00EE7EDB">
        <w:rPr>
          <w:rFonts w:asciiTheme="minorHAnsi" w:hAnsiTheme="minorHAnsi" w:cstheme="minorHAnsi"/>
          <w:sz w:val="22"/>
          <w:szCs w:val="22"/>
          <w:lang w:eastAsia="en-AU"/>
        </w:rPr>
        <w:t xml:space="preserve"> Fin Arrays with Low Interface Charge Density by Inverse Metal-Assisted Chemical Etching," ACS Nano, 13, 8, 8784-8792 (2019).</w:t>
      </w:r>
    </w:p>
    <w:sectPr w:rsidR="00F97620" w:rsidRPr="00C578C1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21516"/>
    <w:rsid w:val="0004118E"/>
    <w:rsid w:val="00045573"/>
    <w:rsid w:val="000A6D19"/>
    <w:rsid w:val="001A21AD"/>
    <w:rsid w:val="001D62F5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42E2"/>
    <w:rsid w:val="0059609A"/>
    <w:rsid w:val="00597659"/>
    <w:rsid w:val="005E48A2"/>
    <w:rsid w:val="005F19FF"/>
    <w:rsid w:val="00641190"/>
    <w:rsid w:val="006448F3"/>
    <w:rsid w:val="006B3866"/>
    <w:rsid w:val="006F133C"/>
    <w:rsid w:val="00711813"/>
    <w:rsid w:val="00724E3C"/>
    <w:rsid w:val="00743C46"/>
    <w:rsid w:val="00767518"/>
    <w:rsid w:val="008869C9"/>
    <w:rsid w:val="008909C9"/>
    <w:rsid w:val="00947B77"/>
    <w:rsid w:val="00997C34"/>
    <w:rsid w:val="009A4CFF"/>
    <w:rsid w:val="009B2641"/>
    <w:rsid w:val="009E2228"/>
    <w:rsid w:val="009F06D6"/>
    <w:rsid w:val="009F666F"/>
    <w:rsid w:val="00A266B4"/>
    <w:rsid w:val="00AC4B9E"/>
    <w:rsid w:val="00BC5FCC"/>
    <w:rsid w:val="00BF1626"/>
    <w:rsid w:val="00C578C1"/>
    <w:rsid w:val="00C60A71"/>
    <w:rsid w:val="00CC165A"/>
    <w:rsid w:val="00D55F3B"/>
    <w:rsid w:val="00DA2731"/>
    <w:rsid w:val="00DB4497"/>
    <w:rsid w:val="00DC0ABB"/>
    <w:rsid w:val="00DF1C8E"/>
    <w:rsid w:val="00EE7EDB"/>
    <w:rsid w:val="00EF12F3"/>
    <w:rsid w:val="00F26BBE"/>
    <w:rsid w:val="00F97620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4015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Zoe Keogh</cp:lastModifiedBy>
  <cp:revision>2</cp:revision>
  <cp:lastPrinted>2013-06-13T05:15:00Z</cp:lastPrinted>
  <dcterms:created xsi:type="dcterms:W3CDTF">2019-12-02T08:51:00Z</dcterms:created>
  <dcterms:modified xsi:type="dcterms:W3CDTF">2019-12-02T08:51:00Z</dcterms:modified>
</cp:coreProperties>
</file>