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C45AC5" w14:textId="4AD039B4" w:rsidR="00DF1C8E" w:rsidRDefault="00300962" w:rsidP="00C043A9">
      <w:pPr>
        <w:jc w:val="center"/>
        <w:rPr>
          <w:rFonts w:ascii="Calibri" w:hAnsi="Calibri" w:cs="Calibri"/>
          <w:sz w:val="20"/>
          <w:szCs w:val="20"/>
          <w:lang w:val="en-AU"/>
        </w:rPr>
      </w:pPr>
      <w:bookmarkStart w:id="0" w:name="_GoBack"/>
      <w:r>
        <w:rPr>
          <w:rFonts w:ascii="Calibri" w:hAnsi="Calibri" w:cs="Calibri"/>
          <w:b/>
          <w:sz w:val="28"/>
          <w:szCs w:val="28"/>
          <w:lang w:val="en-AU"/>
        </w:rPr>
        <w:t>Hydrogel delivery of miRNAs to</w:t>
      </w:r>
      <w:r w:rsidR="00092E59">
        <w:rPr>
          <w:rFonts w:ascii="Calibri" w:hAnsi="Calibri" w:cs="Calibri"/>
          <w:b/>
          <w:sz w:val="28"/>
          <w:szCs w:val="28"/>
          <w:lang w:val="en-AU"/>
        </w:rPr>
        <w:t xml:space="preserve"> modulate </w:t>
      </w:r>
      <w:r w:rsidR="00092E59">
        <w:rPr>
          <w:rFonts w:ascii="Calibri" w:hAnsi="Calibri" w:cs="Calibri"/>
          <w:b/>
          <w:sz w:val="28"/>
          <w:szCs w:val="28"/>
          <w:lang w:val="en-AU"/>
        </w:rPr>
        <w:t>mesenchymal stromal cell</w:t>
      </w:r>
      <w:r w:rsidR="00092E59">
        <w:rPr>
          <w:rFonts w:ascii="Calibri" w:hAnsi="Calibri" w:cs="Calibri"/>
          <w:b/>
          <w:sz w:val="28"/>
          <w:szCs w:val="28"/>
          <w:lang w:val="en-AU"/>
        </w:rPr>
        <w:t xml:space="preserve"> </w:t>
      </w:r>
      <w:proofErr w:type="spellStart"/>
      <w:r w:rsidR="00092E59">
        <w:rPr>
          <w:rFonts w:ascii="Calibri" w:hAnsi="Calibri" w:cs="Calibri"/>
          <w:b/>
          <w:sz w:val="28"/>
          <w:szCs w:val="28"/>
          <w:lang w:val="en-AU"/>
        </w:rPr>
        <w:t>mechanotransduction</w:t>
      </w:r>
      <w:proofErr w:type="spellEnd"/>
      <w:r w:rsidR="00092E59">
        <w:rPr>
          <w:rFonts w:ascii="Calibri" w:hAnsi="Calibri" w:cs="Calibri"/>
          <w:b/>
          <w:sz w:val="28"/>
          <w:szCs w:val="28"/>
          <w:lang w:val="en-AU"/>
        </w:rPr>
        <w:t xml:space="preserve"> and </w:t>
      </w:r>
      <w:r>
        <w:rPr>
          <w:rFonts w:ascii="Calibri" w:hAnsi="Calibri" w:cs="Calibri"/>
          <w:b/>
          <w:sz w:val="28"/>
          <w:szCs w:val="28"/>
          <w:lang w:val="en-AU"/>
        </w:rPr>
        <w:t xml:space="preserve">enhance </w:t>
      </w:r>
      <w:r w:rsidR="00C043A9">
        <w:rPr>
          <w:rFonts w:ascii="Calibri" w:hAnsi="Calibri" w:cs="Calibri"/>
          <w:b/>
          <w:sz w:val="28"/>
          <w:szCs w:val="28"/>
          <w:lang w:val="en-AU"/>
        </w:rPr>
        <w:t xml:space="preserve">bone formation </w:t>
      </w:r>
    </w:p>
    <w:bookmarkEnd w:id="0"/>
    <w:p w14:paraId="22DB1634" w14:textId="0347F1B6" w:rsidR="00DF1C8E" w:rsidRPr="005F19FF" w:rsidRDefault="00711813" w:rsidP="00F26BBE">
      <w:pPr>
        <w:jc w:val="center"/>
        <w:rPr>
          <w:rFonts w:ascii="Calibri" w:hAnsi="Calibri" w:cs="Calibri"/>
          <w:i/>
          <w:lang w:val="en-AU"/>
        </w:rPr>
      </w:pPr>
      <w:r w:rsidRPr="005F19FF">
        <w:rPr>
          <w:rFonts w:ascii="Calibri" w:hAnsi="Calibri" w:cs="Calibri"/>
          <w:i/>
          <w:lang w:val="en-AU"/>
        </w:rPr>
        <w:t>J</w:t>
      </w:r>
      <w:r w:rsidR="00534780">
        <w:rPr>
          <w:rFonts w:ascii="Calibri" w:hAnsi="Calibri" w:cs="Calibri"/>
          <w:i/>
          <w:lang w:val="en-AU"/>
        </w:rPr>
        <w:t xml:space="preserve">ess </w:t>
      </w:r>
      <w:proofErr w:type="spellStart"/>
      <w:r w:rsidR="00534780">
        <w:rPr>
          <w:rFonts w:ascii="Calibri" w:hAnsi="Calibri" w:cs="Calibri"/>
          <w:i/>
          <w:lang w:val="en-AU"/>
        </w:rPr>
        <w:t>Frith</w:t>
      </w:r>
      <w:r w:rsidR="005F19FF" w:rsidRPr="005F19FF">
        <w:rPr>
          <w:rFonts w:ascii="Calibri" w:hAnsi="Calibri" w:cs="Calibri"/>
          <w:i/>
          <w:vertAlign w:val="superscript"/>
          <w:lang w:val="en-AU"/>
        </w:rPr>
        <w:t>A</w:t>
      </w:r>
      <w:proofErr w:type="spellEnd"/>
      <w:r w:rsidRPr="005F19FF">
        <w:rPr>
          <w:rFonts w:ascii="Calibri" w:hAnsi="Calibri" w:cs="Calibri"/>
          <w:i/>
          <w:lang w:val="en-AU"/>
        </w:rPr>
        <w:t xml:space="preserve">, </w:t>
      </w:r>
    </w:p>
    <w:p w14:paraId="49EF8C2D" w14:textId="78E19D85" w:rsidR="00711813" w:rsidRPr="006B3866" w:rsidRDefault="005F19FF" w:rsidP="00F26BBE">
      <w:pPr>
        <w:jc w:val="center"/>
        <w:rPr>
          <w:rFonts w:ascii="Calibri" w:hAnsi="Calibri" w:cs="Calibri"/>
          <w:sz w:val="22"/>
          <w:szCs w:val="22"/>
          <w:lang w:val="en-AU"/>
        </w:rPr>
      </w:pPr>
      <w:proofErr w:type="spellStart"/>
      <w:r>
        <w:rPr>
          <w:rFonts w:ascii="Calibri" w:hAnsi="Calibri" w:cs="Calibri"/>
          <w:sz w:val="22"/>
          <w:szCs w:val="22"/>
          <w:vertAlign w:val="superscript"/>
          <w:lang w:val="en-AU"/>
        </w:rPr>
        <w:t>A</w:t>
      </w:r>
      <w:r w:rsidR="00534780">
        <w:rPr>
          <w:rFonts w:ascii="Calibri" w:hAnsi="Calibri" w:cs="Calibri"/>
          <w:sz w:val="22"/>
          <w:szCs w:val="22"/>
          <w:lang w:val="en-AU"/>
        </w:rPr>
        <w:t>Materials</w:t>
      </w:r>
      <w:proofErr w:type="spellEnd"/>
      <w:r w:rsidR="00534780">
        <w:rPr>
          <w:rFonts w:ascii="Calibri" w:hAnsi="Calibri" w:cs="Calibri"/>
          <w:sz w:val="22"/>
          <w:szCs w:val="22"/>
          <w:lang w:val="en-AU"/>
        </w:rPr>
        <w:t xml:space="preserve"> Science and Engineering</w:t>
      </w:r>
      <w:r w:rsidR="00711813" w:rsidRPr="006B3866">
        <w:rPr>
          <w:rFonts w:ascii="Calibri" w:hAnsi="Calibri" w:cs="Calibri"/>
          <w:sz w:val="22"/>
          <w:szCs w:val="22"/>
          <w:lang w:val="en-AU"/>
        </w:rPr>
        <w:t xml:space="preserve">, </w:t>
      </w:r>
      <w:r w:rsidR="00534780">
        <w:rPr>
          <w:rFonts w:ascii="Calibri" w:hAnsi="Calibri" w:cs="Calibri"/>
          <w:sz w:val="22"/>
          <w:szCs w:val="22"/>
          <w:lang w:val="en-AU"/>
        </w:rPr>
        <w:t>Monash University</w:t>
      </w:r>
      <w:r w:rsidR="00711813" w:rsidRPr="006B3866">
        <w:rPr>
          <w:rFonts w:ascii="Calibri" w:hAnsi="Calibri" w:cs="Calibri"/>
          <w:sz w:val="22"/>
          <w:szCs w:val="22"/>
          <w:lang w:val="en-AU"/>
        </w:rPr>
        <w:t xml:space="preserve">, </w:t>
      </w:r>
      <w:r w:rsidR="00534780">
        <w:rPr>
          <w:rFonts w:ascii="Calibri" w:hAnsi="Calibri" w:cs="Calibri"/>
          <w:sz w:val="22"/>
          <w:szCs w:val="22"/>
          <w:lang w:val="en-AU"/>
        </w:rPr>
        <w:t>Clayton</w:t>
      </w:r>
      <w:r w:rsidR="00EF12F3" w:rsidRPr="006B3866">
        <w:rPr>
          <w:rFonts w:ascii="Calibri" w:hAnsi="Calibri" w:cs="Calibri"/>
          <w:sz w:val="22"/>
          <w:szCs w:val="22"/>
          <w:lang w:val="en-AU"/>
        </w:rPr>
        <w:t xml:space="preserve">, </w:t>
      </w:r>
      <w:r w:rsidR="00534780">
        <w:rPr>
          <w:rFonts w:ascii="Calibri" w:hAnsi="Calibri" w:cs="Calibri"/>
          <w:sz w:val="22"/>
          <w:szCs w:val="22"/>
          <w:lang w:val="en-AU"/>
        </w:rPr>
        <w:t>Australia</w:t>
      </w:r>
    </w:p>
    <w:p w14:paraId="05E17889" w14:textId="38F08F16" w:rsidR="00711813" w:rsidRPr="006B3866" w:rsidRDefault="00711813" w:rsidP="00711813">
      <w:pPr>
        <w:pStyle w:val="Default"/>
        <w:jc w:val="both"/>
        <w:rPr>
          <w:color w:val="auto"/>
          <w:sz w:val="22"/>
          <w:szCs w:val="22"/>
          <w:lang w:val="en-AU"/>
        </w:rPr>
      </w:pPr>
      <w:r w:rsidRPr="006B3866">
        <w:rPr>
          <w:i/>
          <w:color w:val="auto"/>
          <w:sz w:val="22"/>
          <w:szCs w:val="22"/>
        </w:rPr>
        <w:t xml:space="preserve"> </w:t>
      </w:r>
    </w:p>
    <w:p w14:paraId="7B91D215" w14:textId="77777777" w:rsidR="00534780" w:rsidRDefault="00534780" w:rsidP="00711813">
      <w:pPr>
        <w:jc w:val="both"/>
        <w:rPr>
          <w:rFonts w:ascii="Calibri" w:hAnsi="Calibri" w:cs="Calibri"/>
          <w:sz w:val="22"/>
          <w:szCs w:val="22"/>
          <w:lang w:val="en-AU"/>
        </w:rPr>
      </w:pPr>
    </w:p>
    <w:p w14:paraId="00E44D1A" w14:textId="025804F2" w:rsidR="00300962" w:rsidRDefault="00300962" w:rsidP="00711813">
      <w:pPr>
        <w:jc w:val="both"/>
        <w:rPr>
          <w:rFonts w:ascii="Calibri" w:hAnsi="Calibri" w:cs="Calibri"/>
          <w:sz w:val="22"/>
          <w:szCs w:val="22"/>
          <w:lang w:val="en-AU"/>
        </w:rPr>
      </w:pPr>
    </w:p>
    <w:p w14:paraId="332194E0" w14:textId="33526161" w:rsidR="00EB07F7" w:rsidRDefault="00C043A9" w:rsidP="00300962">
      <w:pPr>
        <w:jc w:val="both"/>
        <w:rPr>
          <w:rFonts w:ascii="Calibri" w:hAnsi="Calibri" w:cs="Calibri"/>
          <w:sz w:val="22"/>
          <w:szCs w:val="22"/>
          <w:lang w:val="en-AU"/>
        </w:rPr>
      </w:pPr>
      <w:r w:rsidRPr="00C043A9">
        <w:rPr>
          <w:rFonts w:ascii="Calibri" w:hAnsi="Calibri" w:cs="Calibri"/>
          <w:sz w:val="22"/>
          <w:szCs w:val="22"/>
          <w:lang w:val="en-AU"/>
        </w:rPr>
        <w:t>Hydrogels are attractive candidates for tissue</w:t>
      </w:r>
      <w:r w:rsidR="00EB07F7">
        <w:rPr>
          <w:rFonts w:ascii="Calibri" w:hAnsi="Calibri" w:cs="Calibri"/>
          <w:sz w:val="22"/>
          <w:szCs w:val="22"/>
          <w:lang w:val="en-AU"/>
        </w:rPr>
        <w:t>-</w:t>
      </w:r>
      <w:r w:rsidRPr="00C043A9">
        <w:rPr>
          <w:rFonts w:ascii="Calibri" w:hAnsi="Calibri" w:cs="Calibri"/>
          <w:sz w:val="22"/>
          <w:szCs w:val="22"/>
          <w:lang w:val="en-AU"/>
        </w:rPr>
        <w:t>engineering</w:t>
      </w:r>
      <w:r w:rsidR="00EB07F7">
        <w:rPr>
          <w:rFonts w:ascii="Calibri" w:hAnsi="Calibri" w:cs="Calibri"/>
          <w:sz w:val="22"/>
          <w:szCs w:val="22"/>
          <w:lang w:val="en-AU"/>
        </w:rPr>
        <w:t xml:space="preserve"> due to their highly hydrated nature and similarity to native tissue architecture</w:t>
      </w:r>
      <w:r w:rsidRPr="00C043A9">
        <w:rPr>
          <w:rFonts w:ascii="Calibri" w:hAnsi="Calibri" w:cs="Calibri"/>
          <w:sz w:val="22"/>
          <w:szCs w:val="22"/>
          <w:lang w:val="en-AU"/>
        </w:rPr>
        <w:t xml:space="preserve">. </w:t>
      </w:r>
      <w:r w:rsidR="00EB07F7">
        <w:rPr>
          <w:rFonts w:ascii="Calibri" w:hAnsi="Calibri" w:cs="Calibri"/>
          <w:sz w:val="22"/>
          <w:szCs w:val="22"/>
          <w:lang w:val="en-AU"/>
        </w:rPr>
        <w:t xml:space="preserve">For bone tissue engineering, there is strong interest in the potential for hydrogel-encapsulated </w:t>
      </w:r>
      <w:r w:rsidR="00EB07F7" w:rsidRPr="00C043A9">
        <w:rPr>
          <w:rFonts w:ascii="Calibri" w:hAnsi="Calibri" w:cs="Calibri"/>
          <w:sz w:val="22"/>
          <w:szCs w:val="22"/>
          <w:lang w:val="en-AU"/>
        </w:rPr>
        <w:t>mesenchymal stem/stromal cells (MSCs)</w:t>
      </w:r>
      <w:r w:rsidR="00EB07F7">
        <w:rPr>
          <w:rFonts w:ascii="Calibri" w:hAnsi="Calibri" w:cs="Calibri"/>
          <w:sz w:val="22"/>
          <w:szCs w:val="22"/>
          <w:lang w:val="en-AU"/>
        </w:rPr>
        <w:t xml:space="preserve"> to be differentiated and used in</w:t>
      </w:r>
      <w:r w:rsidRPr="00C043A9">
        <w:rPr>
          <w:rFonts w:ascii="Calibri" w:hAnsi="Calibri" w:cs="Calibri"/>
          <w:sz w:val="22"/>
          <w:szCs w:val="22"/>
          <w:lang w:val="en-AU"/>
        </w:rPr>
        <w:t xml:space="preserve"> the repair and regeneration of bone. However</w:t>
      </w:r>
      <w:r w:rsidR="00EB07F7">
        <w:rPr>
          <w:rFonts w:ascii="Calibri" w:hAnsi="Calibri" w:cs="Calibri"/>
          <w:sz w:val="22"/>
          <w:szCs w:val="22"/>
          <w:lang w:val="en-AU"/>
        </w:rPr>
        <w:t>,</w:t>
      </w:r>
      <w:r w:rsidRPr="00C043A9">
        <w:rPr>
          <w:rFonts w:ascii="Calibri" w:hAnsi="Calibri" w:cs="Calibri"/>
          <w:sz w:val="22"/>
          <w:szCs w:val="22"/>
          <w:lang w:val="en-AU"/>
        </w:rPr>
        <w:t xml:space="preserve"> </w:t>
      </w:r>
      <w:r w:rsidR="00EB07F7">
        <w:rPr>
          <w:rFonts w:ascii="Calibri" w:hAnsi="Calibri" w:cs="Calibri"/>
          <w:sz w:val="22"/>
          <w:szCs w:val="22"/>
          <w:lang w:val="en-AU"/>
        </w:rPr>
        <w:t xml:space="preserve">the fate of MSCs is highly dependent upon the stiffness of their surrounding matric </w:t>
      </w:r>
      <w:r w:rsidRPr="00C043A9">
        <w:rPr>
          <w:rFonts w:ascii="Calibri" w:hAnsi="Calibri" w:cs="Calibri"/>
          <w:sz w:val="22"/>
          <w:szCs w:val="22"/>
          <w:lang w:val="en-AU"/>
        </w:rPr>
        <w:t>and so the inherent softness of hydrogels is poorly matched to the mechanical cues that drive efficient osteogenesis. This limits the success of bone tissue</w:t>
      </w:r>
      <w:r w:rsidR="00EB07F7">
        <w:rPr>
          <w:rFonts w:ascii="Calibri" w:hAnsi="Calibri" w:cs="Calibri"/>
          <w:sz w:val="22"/>
          <w:szCs w:val="22"/>
          <w:lang w:val="en-AU"/>
        </w:rPr>
        <w:t>-</w:t>
      </w:r>
      <w:r w:rsidRPr="00C043A9">
        <w:rPr>
          <w:rFonts w:ascii="Calibri" w:hAnsi="Calibri" w:cs="Calibri"/>
          <w:sz w:val="22"/>
          <w:szCs w:val="22"/>
          <w:lang w:val="en-AU"/>
        </w:rPr>
        <w:t>engineering using MSCs encapsulated in a hydrogel.</w:t>
      </w:r>
      <w:r w:rsidR="00EB07F7">
        <w:rPr>
          <w:rFonts w:ascii="Calibri" w:hAnsi="Calibri" w:cs="Calibri"/>
          <w:sz w:val="22"/>
          <w:szCs w:val="22"/>
          <w:lang w:val="en-AU"/>
        </w:rPr>
        <w:t xml:space="preserve"> </w:t>
      </w:r>
      <w:r w:rsidR="00300962" w:rsidRPr="00300962">
        <w:rPr>
          <w:rFonts w:ascii="Calibri" w:hAnsi="Calibri" w:cs="Calibri"/>
          <w:sz w:val="22"/>
          <w:szCs w:val="22"/>
          <w:lang w:val="en-AU"/>
        </w:rPr>
        <w:t>miRNAs are</w:t>
      </w:r>
      <w:r w:rsidR="00300962">
        <w:rPr>
          <w:rFonts w:ascii="Calibri" w:hAnsi="Calibri" w:cs="Calibri"/>
          <w:sz w:val="22"/>
          <w:szCs w:val="22"/>
          <w:lang w:val="en-AU"/>
        </w:rPr>
        <w:t xml:space="preserve"> </w:t>
      </w:r>
      <w:r w:rsidR="00300962" w:rsidRPr="00300962">
        <w:rPr>
          <w:rFonts w:ascii="Calibri" w:hAnsi="Calibri" w:cs="Calibri"/>
          <w:sz w:val="22"/>
          <w:szCs w:val="22"/>
          <w:lang w:val="en-AU"/>
        </w:rPr>
        <w:t>short oligonucleotides that regulat</w:t>
      </w:r>
      <w:r>
        <w:rPr>
          <w:rFonts w:ascii="Calibri" w:hAnsi="Calibri" w:cs="Calibri"/>
          <w:sz w:val="22"/>
          <w:szCs w:val="22"/>
          <w:lang w:val="en-AU"/>
        </w:rPr>
        <w:t>e</w:t>
      </w:r>
      <w:r w:rsidR="00300962" w:rsidRPr="00300962">
        <w:rPr>
          <w:rFonts w:ascii="Calibri" w:hAnsi="Calibri" w:cs="Calibri"/>
          <w:sz w:val="22"/>
          <w:szCs w:val="22"/>
          <w:lang w:val="en-AU"/>
        </w:rPr>
        <w:t xml:space="preserve"> gene expression and are of</w:t>
      </w:r>
      <w:r w:rsidR="00300962">
        <w:rPr>
          <w:rFonts w:ascii="Calibri" w:hAnsi="Calibri" w:cs="Calibri"/>
          <w:sz w:val="22"/>
          <w:szCs w:val="22"/>
          <w:lang w:val="en-AU"/>
        </w:rPr>
        <w:t xml:space="preserve"> </w:t>
      </w:r>
      <w:r w:rsidR="00300962" w:rsidRPr="00300962">
        <w:rPr>
          <w:rFonts w:ascii="Calibri" w:hAnsi="Calibri" w:cs="Calibri"/>
          <w:sz w:val="22"/>
          <w:szCs w:val="22"/>
          <w:lang w:val="en-AU"/>
        </w:rPr>
        <w:t>increasing interest as a relatively simple,</w:t>
      </w:r>
      <w:r w:rsidR="00300962">
        <w:rPr>
          <w:rFonts w:ascii="Calibri" w:hAnsi="Calibri" w:cs="Calibri"/>
          <w:sz w:val="22"/>
          <w:szCs w:val="22"/>
          <w:lang w:val="en-AU"/>
        </w:rPr>
        <w:t xml:space="preserve"> </w:t>
      </w:r>
      <w:r w:rsidR="00300962" w:rsidRPr="00300962">
        <w:rPr>
          <w:rFonts w:ascii="Calibri" w:hAnsi="Calibri" w:cs="Calibri"/>
          <w:sz w:val="22"/>
          <w:szCs w:val="22"/>
          <w:lang w:val="en-AU"/>
        </w:rPr>
        <w:t>inexpensive and scalable way to guide cellular</w:t>
      </w:r>
      <w:r w:rsidR="00300962">
        <w:rPr>
          <w:rFonts w:ascii="Calibri" w:hAnsi="Calibri" w:cs="Calibri"/>
          <w:sz w:val="22"/>
          <w:szCs w:val="22"/>
          <w:lang w:val="en-AU"/>
        </w:rPr>
        <w:t xml:space="preserve"> </w:t>
      </w:r>
      <w:r w:rsidR="00300962" w:rsidRPr="00300962">
        <w:rPr>
          <w:rFonts w:ascii="Calibri" w:hAnsi="Calibri" w:cs="Calibri"/>
          <w:sz w:val="22"/>
          <w:szCs w:val="22"/>
          <w:lang w:val="en-AU"/>
        </w:rPr>
        <w:t xml:space="preserve">activities. </w:t>
      </w:r>
      <w:r w:rsidR="00EB07F7">
        <w:rPr>
          <w:rFonts w:ascii="Calibri" w:hAnsi="Calibri" w:cs="Calibri"/>
          <w:sz w:val="22"/>
          <w:szCs w:val="22"/>
          <w:lang w:val="en-AU"/>
        </w:rPr>
        <w:t>Here, w</w:t>
      </w:r>
      <w:r>
        <w:rPr>
          <w:rFonts w:ascii="Calibri" w:hAnsi="Calibri" w:cs="Calibri"/>
          <w:sz w:val="22"/>
          <w:szCs w:val="22"/>
          <w:lang w:val="en-AU"/>
        </w:rPr>
        <w:t xml:space="preserve">e </w:t>
      </w:r>
      <w:r w:rsidR="00EB07F7">
        <w:rPr>
          <w:rFonts w:ascii="Calibri" w:hAnsi="Calibri" w:cs="Calibri"/>
          <w:sz w:val="22"/>
          <w:szCs w:val="22"/>
          <w:lang w:val="en-AU"/>
        </w:rPr>
        <w:t xml:space="preserve">have investigated the potential for mechanosensitive miRNAs to </w:t>
      </w:r>
      <w:r w:rsidR="00237652">
        <w:rPr>
          <w:rFonts w:ascii="Calibri" w:hAnsi="Calibri" w:cs="Calibri"/>
          <w:sz w:val="22"/>
          <w:szCs w:val="22"/>
          <w:lang w:val="en-AU"/>
        </w:rPr>
        <w:t xml:space="preserve">modulate </w:t>
      </w:r>
      <w:proofErr w:type="spellStart"/>
      <w:r w:rsidR="00237652">
        <w:rPr>
          <w:rFonts w:ascii="Calibri" w:hAnsi="Calibri" w:cs="Calibri"/>
          <w:sz w:val="22"/>
          <w:szCs w:val="22"/>
          <w:lang w:val="en-AU"/>
        </w:rPr>
        <w:t>mechanotransduction</w:t>
      </w:r>
      <w:proofErr w:type="spellEnd"/>
      <w:r w:rsidR="00237652">
        <w:rPr>
          <w:rFonts w:ascii="Calibri" w:hAnsi="Calibri" w:cs="Calibri"/>
          <w:sz w:val="22"/>
          <w:szCs w:val="22"/>
          <w:lang w:val="en-AU"/>
        </w:rPr>
        <w:t xml:space="preserve"> and </w:t>
      </w:r>
      <w:r w:rsidR="00EB07F7" w:rsidRPr="00300962">
        <w:rPr>
          <w:rFonts w:ascii="Calibri" w:hAnsi="Calibri" w:cs="Calibri"/>
          <w:sz w:val="22"/>
          <w:szCs w:val="22"/>
          <w:lang w:val="en-AU"/>
        </w:rPr>
        <w:t>enhance</w:t>
      </w:r>
      <w:r w:rsidR="00EB07F7">
        <w:rPr>
          <w:rFonts w:ascii="Calibri" w:hAnsi="Calibri" w:cs="Calibri"/>
          <w:sz w:val="22"/>
          <w:szCs w:val="22"/>
          <w:lang w:val="en-AU"/>
        </w:rPr>
        <w:t xml:space="preserve"> </w:t>
      </w:r>
      <w:r w:rsidR="00EB07F7">
        <w:rPr>
          <w:rFonts w:ascii="Calibri" w:hAnsi="Calibri" w:cs="Calibri"/>
          <w:sz w:val="22"/>
          <w:szCs w:val="22"/>
          <w:lang w:val="en-AU"/>
        </w:rPr>
        <w:t xml:space="preserve">the </w:t>
      </w:r>
      <w:r w:rsidR="00EB07F7" w:rsidRPr="00300962">
        <w:rPr>
          <w:rFonts w:ascii="Calibri" w:hAnsi="Calibri" w:cs="Calibri"/>
          <w:sz w:val="22"/>
          <w:szCs w:val="22"/>
          <w:lang w:val="en-AU"/>
        </w:rPr>
        <w:t xml:space="preserve">osteogenic differentiation of MSCs </w:t>
      </w:r>
      <w:r w:rsidR="00EB07F7">
        <w:rPr>
          <w:rFonts w:ascii="Calibri" w:hAnsi="Calibri" w:cs="Calibri"/>
          <w:sz w:val="22"/>
          <w:szCs w:val="22"/>
          <w:lang w:val="en-AU"/>
        </w:rPr>
        <w:t xml:space="preserve">in hydrogels </w:t>
      </w:r>
      <w:r w:rsidR="00EB07F7" w:rsidRPr="00300962">
        <w:rPr>
          <w:rFonts w:ascii="Calibri" w:hAnsi="Calibri" w:cs="Calibri"/>
          <w:sz w:val="22"/>
          <w:szCs w:val="22"/>
          <w:lang w:val="en-AU"/>
        </w:rPr>
        <w:t>for bone</w:t>
      </w:r>
      <w:r w:rsidR="00EB07F7">
        <w:rPr>
          <w:rFonts w:ascii="Calibri" w:hAnsi="Calibri" w:cs="Calibri"/>
          <w:sz w:val="22"/>
          <w:szCs w:val="22"/>
          <w:lang w:val="en-AU"/>
        </w:rPr>
        <w:t xml:space="preserve"> </w:t>
      </w:r>
      <w:r w:rsidR="00EB07F7" w:rsidRPr="00300962">
        <w:rPr>
          <w:rFonts w:ascii="Calibri" w:hAnsi="Calibri" w:cs="Calibri"/>
          <w:sz w:val="22"/>
          <w:szCs w:val="22"/>
          <w:lang w:val="en-AU"/>
        </w:rPr>
        <w:t>tissue-engineering.</w:t>
      </w:r>
    </w:p>
    <w:p w14:paraId="3BF151EB" w14:textId="77777777" w:rsidR="00300962" w:rsidRDefault="00300962" w:rsidP="00300962">
      <w:pPr>
        <w:jc w:val="both"/>
        <w:rPr>
          <w:rFonts w:ascii="Calibri" w:hAnsi="Calibri" w:cs="Calibri"/>
          <w:sz w:val="22"/>
          <w:szCs w:val="22"/>
          <w:lang w:val="en-AU"/>
        </w:rPr>
      </w:pPr>
    </w:p>
    <w:p w14:paraId="359946F1" w14:textId="08F9427B" w:rsidR="00300962" w:rsidRDefault="00300962" w:rsidP="00300962">
      <w:pPr>
        <w:jc w:val="both"/>
        <w:rPr>
          <w:rFonts w:ascii="Calibri" w:hAnsi="Calibri" w:cs="Calibri"/>
          <w:sz w:val="22"/>
          <w:szCs w:val="22"/>
          <w:lang w:val="en-AU"/>
        </w:rPr>
      </w:pPr>
      <w:r w:rsidRPr="00300962">
        <w:rPr>
          <w:rFonts w:ascii="Calibri" w:hAnsi="Calibri" w:cs="Calibri"/>
          <w:sz w:val="22"/>
          <w:szCs w:val="22"/>
          <w:lang w:val="en-AU"/>
        </w:rPr>
        <w:t>Polyacrylamide gels, of</w:t>
      </w:r>
      <w:r>
        <w:rPr>
          <w:rFonts w:ascii="Calibri" w:hAnsi="Calibri" w:cs="Calibri"/>
          <w:sz w:val="22"/>
          <w:szCs w:val="22"/>
          <w:lang w:val="en-AU"/>
        </w:rPr>
        <w:t xml:space="preserve"> </w:t>
      </w:r>
      <w:r w:rsidRPr="00300962">
        <w:rPr>
          <w:rFonts w:ascii="Calibri" w:hAnsi="Calibri" w:cs="Calibri"/>
          <w:sz w:val="22"/>
          <w:szCs w:val="22"/>
          <w:lang w:val="en-AU"/>
        </w:rPr>
        <w:t>varying mechanical properties and coated with</w:t>
      </w:r>
      <w:r>
        <w:rPr>
          <w:rFonts w:ascii="Calibri" w:hAnsi="Calibri" w:cs="Calibri"/>
          <w:sz w:val="22"/>
          <w:szCs w:val="22"/>
          <w:lang w:val="en-AU"/>
        </w:rPr>
        <w:t xml:space="preserve"> </w:t>
      </w:r>
      <w:r w:rsidRPr="00300962">
        <w:rPr>
          <w:rFonts w:ascii="Calibri" w:hAnsi="Calibri" w:cs="Calibri"/>
          <w:sz w:val="22"/>
          <w:szCs w:val="22"/>
          <w:lang w:val="en-AU"/>
        </w:rPr>
        <w:t>type-I-collagen were used as a model system</w:t>
      </w:r>
      <w:r>
        <w:rPr>
          <w:rFonts w:ascii="Calibri" w:hAnsi="Calibri" w:cs="Calibri"/>
          <w:sz w:val="22"/>
          <w:szCs w:val="22"/>
          <w:lang w:val="en-AU"/>
        </w:rPr>
        <w:t xml:space="preserve"> </w:t>
      </w:r>
      <w:r w:rsidR="003E5A25">
        <w:rPr>
          <w:rFonts w:ascii="Calibri" w:hAnsi="Calibri" w:cs="Calibri"/>
          <w:sz w:val="22"/>
          <w:szCs w:val="22"/>
          <w:lang w:val="en-AU"/>
        </w:rPr>
        <w:t xml:space="preserve">for </w:t>
      </w:r>
      <w:r w:rsidRPr="00300962">
        <w:rPr>
          <w:rFonts w:ascii="Calibri" w:hAnsi="Calibri" w:cs="Calibri"/>
          <w:sz w:val="22"/>
          <w:szCs w:val="22"/>
          <w:lang w:val="en-AU"/>
        </w:rPr>
        <w:t>human bone marrow-derived MSC culture. The</w:t>
      </w:r>
      <w:r>
        <w:rPr>
          <w:rFonts w:ascii="Calibri" w:hAnsi="Calibri" w:cs="Calibri"/>
          <w:sz w:val="22"/>
          <w:szCs w:val="22"/>
          <w:lang w:val="en-AU"/>
        </w:rPr>
        <w:t xml:space="preserve"> </w:t>
      </w:r>
      <w:r w:rsidRPr="00300962">
        <w:rPr>
          <w:rFonts w:ascii="Calibri" w:hAnsi="Calibri" w:cs="Calibri"/>
          <w:sz w:val="22"/>
          <w:szCs w:val="22"/>
          <w:lang w:val="en-AU"/>
        </w:rPr>
        <w:t>miRNA expression profile of the MSCs was</w:t>
      </w:r>
      <w:r>
        <w:rPr>
          <w:rFonts w:ascii="Calibri" w:hAnsi="Calibri" w:cs="Calibri"/>
          <w:sz w:val="22"/>
          <w:szCs w:val="22"/>
          <w:lang w:val="en-AU"/>
        </w:rPr>
        <w:t xml:space="preserve"> </w:t>
      </w:r>
      <w:r w:rsidRPr="00300962">
        <w:rPr>
          <w:rFonts w:ascii="Calibri" w:hAnsi="Calibri" w:cs="Calibri"/>
          <w:sz w:val="22"/>
          <w:szCs w:val="22"/>
          <w:lang w:val="en-AU"/>
        </w:rPr>
        <w:t>determined by miRNA sequencing and miRNA</w:t>
      </w:r>
      <w:r>
        <w:rPr>
          <w:rFonts w:ascii="Calibri" w:hAnsi="Calibri" w:cs="Calibri"/>
          <w:sz w:val="22"/>
          <w:szCs w:val="22"/>
          <w:lang w:val="en-AU"/>
        </w:rPr>
        <w:t xml:space="preserve"> </w:t>
      </w:r>
      <w:r w:rsidRPr="00300962">
        <w:rPr>
          <w:rFonts w:ascii="Calibri" w:hAnsi="Calibri" w:cs="Calibri"/>
          <w:sz w:val="22"/>
          <w:szCs w:val="22"/>
          <w:lang w:val="en-AU"/>
        </w:rPr>
        <w:t>mimics and inhibitors used to determine the</w:t>
      </w:r>
      <w:r w:rsidR="00EB07F7">
        <w:rPr>
          <w:rFonts w:ascii="Calibri" w:hAnsi="Calibri" w:cs="Calibri"/>
          <w:sz w:val="22"/>
          <w:szCs w:val="22"/>
          <w:lang w:val="en-AU"/>
        </w:rPr>
        <w:t xml:space="preserve"> </w:t>
      </w:r>
      <w:r w:rsidRPr="00300962">
        <w:rPr>
          <w:rFonts w:ascii="Calibri" w:hAnsi="Calibri" w:cs="Calibri"/>
          <w:sz w:val="22"/>
          <w:szCs w:val="22"/>
          <w:lang w:val="en-AU"/>
        </w:rPr>
        <w:t>effects of specific candidates on MSC</w:t>
      </w:r>
      <w:r>
        <w:rPr>
          <w:rFonts w:ascii="Calibri" w:hAnsi="Calibri" w:cs="Calibri"/>
          <w:sz w:val="22"/>
          <w:szCs w:val="22"/>
          <w:lang w:val="en-AU"/>
        </w:rPr>
        <w:t xml:space="preserve"> </w:t>
      </w:r>
      <w:r w:rsidRPr="00300962">
        <w:rPr>
          <w:rFonts w:ascii="Calibri" w:hAnsi="Calibri" w:cs="Calibri"/>
          <w:sz w:val="22"/>
          <w:szCs w:val="22"/>
          <w:lang w:val="en-AU"/>
        </w:rPr>
        <w:t xml:space="preserve">differentiation and </w:t>
      </w:r>
      <w:proofErr w:type="spellStart"/>
      <w:r w:rsidRPr="00300962">
        <w:rPr>
          <w:rFonts w:ascii="Calibri" w:hAnsi="Calibri" w:cs="Calibri"/>
          <w:sz w:val="22"/>
          <w:szCs w:val="22"/>
          <w:lang w:val="en-AU"/>
        </w:rPr>
        <w:t>mechanotransductive</w:t>
      </w:r>
      <w:proofErr w:type="spellEnd"/>
      <w:r>
        <w:rPr>
          <w:rFonts w:ascii="Calibri" w:hAnsi="Calibri" w:cs="Calibri"/>
          <w:sz w:val="22"/>
          <w:szCs w:val="22"/>
          <w:lang w:val="en-AU"/>
        </w:rPr>
        <w:t xml:space="preserve"> </w:t>
      </w:r>
      <w:proofErr w:type="spellStart"/>
      <w:r w:rsidRPr="00300962">
        <w:rPr>
          <w:rFonts w:ascii="Calibri" w:hAnsi="Calibri" w:cs="Calibri"/>
          <w:sz w:val="22"/>
          <w:szCs w:val="22"/>
          <w:lang w:val="en-AU"/>
        </w:rPr>
        <w:t>signaling</w:t>
      </w:r>
      <w:proofErr w:type="spellEnd"/>
      <w:r w:rsidRPr="00300962">
        <w:rPr>
          <w:rFonts w:ascii="Calibri" w:hAnsi="Calibri" w:cs="Calibri"/>
          <w:sz w:val="22"/>
          <w:szCs w:val="22"/>
          <w:lang w:val="en-AU"/>
        </w:rPr>
        <w:t>. miRNAs were complexed with</w:t>
      </w:r>
      <w:r>
        <w:rPr>
          <w:rFonts w:ascii="Calibri" w:hAnsi="Calibri" w:cs="Calibri"/>
          <w:sz w:val="22"/>
          <w:szCs w:val="22"/>
          <w:lang w:val="en-AU"/>
        </w:rPr>
        <w:t xml:space="preserve"> </w:t>
      </w:r>
      <w:proofErr w:type="spellStart"/>
      <w:r w:rsidRPr="00300962">
        <w:rPr>
          <w:rFonts w:ascii="Calibri" w:hAnsi="Calibri" w:cs="Calibri"/>
          <w:sz w:val="22"/>
          <w:szCs w:val="22"/>
          <w:lang w:val="en-AU"/>
        </w:rPr>
        <w:t>polyethylenimine</w:t>
      </w:r>
      <w:proofErr w:type="spellEnd"/>
      <w:r w:rsidRPr="00300962">
        <w:rPr>
          <w:rFonts w:ascii="Calibri" w:hAnsi="Calibri" w:cs="Calibri"/>
          <w:sz w:val="22"/>
          <w:szCs w:val="22"/>
          <w:lang w:val="en-AU"/>
        </w:rPr>
        <w:t xml:space="preserve"> (PEI) and used to transfect</w:t>
      </w:r>
      <w:r>
        <w:rPr>
          <w:rFonts w:ascii="Calibri" w:hAnsi="Calibri" w:cs="Calibri"/>
          <w:sz w:val="22"/>
          <w:szCs w:val="22"/>
          <w:lang w:val="en-AU"/>
        </w:rPr>
        <w:t xml:space="preserve"> </w:t>
      </w:r>
      <w:r w:rsidRPr="00300962">
        <w:rPr>
          <w:rFonts w:ascii="Calibri" w:hAnsi="Calibri" w:cs="Calibri"/>
          <w:sz w:val="22"/>
          <w:szCs w:val="22"/>
          <w:lang w:val="en-AU"/>
        </w:rPr>
        <w:t>MSCs both before and after encapsulation in</w:t>
      </w:r>
      <w:r w:rsidR="00EB07F7">
        <w:rPr>
          <w:rFonts w:ascii="Calibri" w:hAnsi="Calibri" w:cs="Calibri"/>
          <w:sz w:val="22"/>
          <w:szCs w:val="22"/>
          <w:lang w:val="en-AU"/>
        </w:rPr>
        <w:t xml:space="preserve"> </w:t>
      </w:r>
      <w:r w:rsidRPr="00300962">
        <w:rPr>
          <w:rFonts w:ascii="Calibri" w:hAnsi="Calibri" w:cs="Calibri"/>
          <w:sz w:val="22"/>
          <w:szCs w:val="22"/>
          <w:lang w:val="en-AU"/>
        </w:rPr>
        <w:t xml:space="preserve">light-curable PEG-dithiol and </w:t>
      </w:r>
      <w:proofErr w:type="spellStart"/>
      <w:r w:rsidRPr="00300962">
        <w:rPr>
          <w:rFonts w:ascii="Calibri" w:hAnsi="Calibri" w:cs="Calibri"/>
          <w:sz w:val="22"/>
          <w:szCs w:val="22"/>
          <w:lang w:val="en-AU"/>
        </w:rPr>
        <w:t>gelatin</w:t>
      </w:r>
      <w:proofErr w:type="spellEnd"/>
      <w:r w:rsidR="009B5729">
        <w:rPr>
          <w:rFonts w:ascii="Calibri" w:hAnsi="Calibri" w:cs="Calibri"/>
          <w:sz w:val="22"/>
          <w:szCs w:val="22"/>
          <w:lang w:val="en-AU"/>
        </w:rPr>
        <w:t xml:space="preserve"> </w:t>
      </w:r>
      <w:proofErr w:type="spellStart"/>
      <w:r w:rsidRPr="00300962">
        <w:rPr>
          <w:rFonts w:ascii="Calibri" w:hAnsi="Calibri" w:cs="Calibri"/>
          <w:sz w:val="22"/>
          <w:szCs w:val="22"/>
          <w:lang w:val="en-AU"/>
        </w:rPr>
        <w:t>norborne</w:t>
      </w:r>
      <w:proofErr w:type="spellEnd"/>
      <w:r w:rsidR="009B5729">
        <w:rPr>
          <w:rFonts w:ascii="Calibri" w:hAnsi="Calibri" w:cs="Calibri"/>
          <w:sz w:val="22"/>
          <w:szCs w:val="22"/>
          <w:lang w:val="en-AU"/>
        </w:rPr>
        <w:t>-</w:t>
      </w:r>
      <w:r w:rsidRPr="00300962">
        <w:rPr>
          <w:rFonts w:ascii="Calibri" w:hAnsi="Calibri" w:cs="Calibri"/>
          <w:sz w:val="22"/>
          <w:szCs w:val="22"/>
          <w:lang w:val="en-AU"/>
        </w:rPr>
        <w:t>based hydrogels. Osteogenic analyses were</w:t>
      </w:r>
      <w:r>
        <w:rPr>
          <w:rFonts w:ascii="Calibri" w:hAnsi="Calibri" w:cs="Calibri"/>
          <w:sz w:val="22"/>
          <w:szCs w:val="22"/>
          <w:lang w:val="en-AU"/>
        </w:rPr>
        <w:t xml:space="preserve"> </w:t>
      </w:r>
      <w:r w:rsidRPr="00300962">
        <w:rPr>
          <w:rFonts w:ascii="Calibri" w:hAnsi="Calibri" w:cs="Calibri"/>
          <w:sz w:val="22"/>
          <w:szCs w:val="22"/>
          <w:lang w:val="en-AU"/>
        </w:rPr>
        <w:t>conducted after incubation in osteogenic medium</w:t>
      </w:r>
      <w:r>
        <w:rPr>
          <w:rFonts w:ascii="Calibri" w:hAnsi="Calibri" w:cs="Calibri"/>
          <w:sz w:val="22"/>
          <w:szCs w:val="22"/>
          <w:lang w:val="en-AU"/>
        </w:rPr>
        <w:t xml:space="preserve"> </w:t>
      </w:r>
      <w:r w:rsidRPr="00300962">
        <w:rPr>
          <w:rFonts w:ascii="Calibri" w:hAnsi="Calibri" w:cs="Calibri"/>
          <w:sz w:val="22"/>
          <w:szCs w:val="22"/>
          <w:lang w:val="en-AU"/>
        </w:rPr>
        <w:t>for 7 and 21 days.</w:t>
      </w:r>
    </w:p>
    <w:p w14:paraId="77FF5B02" w14:textId="77777777" w:rsidR="00300962" w:rsidRPr="00300962" w:rsidRDefault="00300962" w:rsidP="00300962">
      <w:pPr>
        <w:jc w:val="both"/>
        <w:rPr>
          <w:rFonts w:ascii="Calibri" w:hAnsi="Calibri" w:cs="Calibri"/>
          <w:sz w:val="22"/>
          <w:szCs w:val="22"/>
          <w:lang w:val="en-AU"/>
        </w:rPr>
      </w:pPr>
    </w:p>
    <w:p w14:paraId="2E9BF25F" w14:textId="3B88195C" w:rsidR="00300962" w:rsidRDefault="00300962" w:rsidP="00300962">
      <w:pPr>
        <w:jc w:val="both"/>
        <w:rPr>
          <w:rFonts w:ascii="Calibri" w:hAnsi="Calibri" w:cs="Calibri"/>
          <w:sz w:val="22"/>
          <w:szCs w:val="22"/>
          <w:lang w:val="en-AU"/>
        </w:rPr>
      </w:pPr>
      <w:r w:rsidRPr="00300962">
        <w:rPr>
          <w:rFonts w:ascii="Calibri" w:hAnsi="Calibri" w:cs="Calibri"/>
          <w:sz w:val="22"/>
          <w:szCs w:val="22"/>
          <w:lang w:val="en-AU"/>
        </w:rPr>
        <w:t>MSCs cultured on gels of</w:t>
      </w:r>
      <w:r>
        <w:rPr>
          <w:rFonts w:ascii="Calibri" w:hAnsi="Calibri" w:cs="Calibri"/>
          <w:sz w:val="22"/>
          <w:szCs w:val="22"/>
          <w:lang w:val="en-AU"/>
        </w:rPr>
        <w:t xml:space="preserve"> </w:t>
      </w:r>
      <w:r w:rsidRPr="00300962">
        <w:rPr>
          <w:rFonts w:ascii="Calibri" w:hAnsi="Calibri" w:cs="Calibri"/>
          <w:sz w:val="22"/>
          <w:szCs w:val="22"/>
          <w:lang w:val="en-AU"/>
        </w:rPr>
        <w:t>varying stiffness showed markedly different</w:t>
      </w:r>
      <w:r>
        <w:rPr>
          <w:rFonts w:ascii="Calibri" w:hAnsi="Calibri" w:cs="Calibri"/>
          <w:sz w:val="22"/>
          <w:szCs w:val="22"/>
          <w:lang w:val="en-AU"/>
        </w:rPr>
        <w:t xml:space="preserve"> </w:t>
      </w:r>
      <w:r w:rsidRPr="00300962">
        <w:rPr>
          <w:rFonts w:ascii="Calibri" w:hAnsi="Calibri" w:cs="Calibri"/>
          <w:sz w:val="22"/>
          <w:szCs w:val="22"/>
          <w:lang w:val="en-AU"/>
        </w:rPr>
        <w:t>morphologies, osteogenic potential and miRNA</w:t>
      </w:r>
      <w:r>
        <w:rPr>
          <w:rFonts w:ascii="Calibri" w:hAnsi="Calibri" w:cs="Calibri"/>
          <w:sz w:val="22"/>
          <w:szCs w:val="22"/>
          <w:lang w:val="en-AU"/>
        </w:rPr>
        <w:t xml:space="preserve"> </w:t>
      </w:r>
      <w:r w:rsidRPr="00300962">
        <w:rPr>
          <w:rFonts w:ascii="Calibri" w:hAnsi="Calibri" w:cs="Calibri"/>
          <w:sz w:val="22"/>
          <w:szCs w:val="22"/>
          <w:lang w:val="en-AU"/>
        </w:rPr>
        <w:t xml:space="preserve">expression profiles. Manipulation of </w:t>
      </w:r>
      <w:proofErr w:type="spellStart"/>
      <w:r w:rsidRPr="00300962">
        <w:rPr>
          <w:rFonts w:ascii="Calibri" w:hAnsi="Calibri" w:cs="Calibri"/>
          <w:sz w:val="22"/>
          <w:szCs w:val="22"/>
          <w:lang w:val="en-AU"/>
        </w:rPr>
        <w:t>signaling</w:t>
      </w:r>
      <w:proofErr w:type="spellEnd"/>
      <w:r w:rsidRPr="00300962">
        <w:rPr>
          <w:rFonts w:ascii="Calibri" w:hAnsi="Calibri" w:cs="Calibri"/>
          <w:sz w:val="22"/>
          <w:szCs w:val="22"/>
          <w:lang w:val="en-AU"/>
        </w:rPr>
        <w:t xml:space="preserve"> via</w:t>
      </w:r>
      <w:r>
        <w:rPr>
          <w:rFonts w:ascii="Calibri" w:hAnsi="Calibri" w:cs="Calibri"/>
          <w:sz w:val="22"/>
          <w:szCs w:val="22"/>
          <w:lang w:val="en-AU"/>
        </w:rPr>
        <w:t xml:space="preserve"> </w:t>
      </w:r>
      <w:r w:rsidRPr="00300962">
        <w:rPr>
          <w:rFonts w:ascii="Calibri" w:hAnsi="Calibri" w:cs="Calibri"/>
          <w:sz w:val="22"/>
          <w:szCs w:val="22"/>
          <w:lang w:val="en-AU"/>
        </w:rPr>
        <w:t>miRNA mimics and inhibitors could be used to</w:t>
      </w:r>
      <w:r>
        <w:rPr>
          <w:rFonts w:ascii="Calibri" w:hAnsi="Calibri" w:cs="Calibri"/>
          <w:sz w:val="22"/>
          <w:szCs w:val="22"/>
          <w:lang w:val="en-AU"/>
        </w:rPr>
        <w:t xml:space="preserve"> </w:t>
      </w:r>
      <w:r w:rsidRPr="00300962">
        <w:rPr>
          <w:rFonts w:ascii="Calibri" w:hAnsi="Calibri" w:cs="Calibri"/>
          <w:sz w:val="22"/>
          <w:szCs w:val="22"/>
          <w:lang w:val="en-AU"/>
        </w:rPr>
        <w:t xml:space="preserve">modulate both </w:t>
      </w:r>
      <w:proofErr w:type="spellStart"/>
      <w:r w:rsidRPr="00300962">
        <w:rPr>
          <w:rFonts w:ascii="Calibri" w:hAnsi="Calibri" w:cs="Calibri"/>
          <w:sz w:val="22"/>
          <w:szCs w:val="22"/>
          <w:lang w:val="en-AU"/>
        </w:rPr>
        <w:t>mechanotransductive</w:t>
      </w:r>
      <w:proofErr w:type="spellEnd"/>
      <w:r w:rsidRPr="00300962">
        <w:rPr>
          <w:rFonts w:ascii="Calibri" w:hAnsi="Calibri" w:cs="Calibri"/>
          <w:sz w:val="22"/>
          <w:szCs w:val="22"/>
          <w:lang w:val="en-AU"/>
        </w:rPr>
        <w:t xml:space="preserve"> </w:t>
      </w:r>
      <w:r>
        <w:rPr>
          <w:rFonts w:ascii="Calibri" w:hAnsi="Calibri" w:cs="Calibri"/>
          <w:sz w:val="22"/>
          <w:szCs w:val="22"/>
          <w:lang w:val="en-AU"/>
        </w:rPr>
        <w:t xml:space="preserve">signalling </w:t>
      </w:r>
      <w:r w:rsidRPr="00300962">
        <w:rPr>
          <w:rFonts w:ascii="Calibri" w:hAnsi="Calibri" w:cs="Calibri"/>
          <w:sz w:val="22"/>
          <w:szCs w:val="22"/>
          <w:lang w:val="en-AU"/>
        </w:rPr>
        <w:t>pathways and MSC osteogenesis, and specific</w:t>
      </w:r>
      <w:r>
        <w:rPr>
          <w:rFonts w:ascii="Calibri" w:hAnsi="Calibri" w:cs="Calibri"/>
          <w:sz w:val="22"/>
          <w:szCs w:val="22"/>
          <w:lang w:val="en-AU"/>
        </w:rPr>
        <w:t xml:space="preserve"> </w:t>
      </w:r>
      <w:r w:rsidRPr="00300962">
        <w:rPr>
          <w:rFonts w:ascii="Calibri" w:hAnsi="Calibri" w:cs="Calibri"/>
          <w:sz w:val="22"/>
          <w:szCs w:val="22"/>
          <w:lang w:val="en-AU"/>
        </w:rPr>
        <w:t>cocktails of miRNAs overexpressed in MSCs on</w:t>
      </w:r>
      <w:r>
        <w:rPr>
          <w:rFonts w:ascii="Calibri" w:hAnsi="Calibri" w:cs="Calibri"/>
          <w:sz w:val="22"/>
          <w:szCs w:val="22"/>
          <w:lang w:val="en-AU"/>
        </w:rPr>
        <w:t xml:space="preserve"> </w:t>
      </w:r>
      <w:r w:rsidRPr="00300962">
        <w:rPr>
          <w:rFonts w:ascii="Calibri" w:hAnsi="Calibri" w:cs="Calibri"/>
          <w:sz w:val="22"/>
          <w:szCs w:val="22"/>
          <w:lang w:val="en-AU"/>
        </w:rPr>
        <w:t>stiff PAM gels were able to improve MSC</w:t>
      </w:r>
      <w:r>
        <w:rPr>
          <w:rFonts w:ascii="Calibri" w:hAnsi="Calibri" w:cs="Calibri"/>
          <w:sz w:val="22"/>
          <w:szCs w:val="22"/>
          <w:lang w:val="en-AU"/>
        </w:rPr>
        <w:t xml:space="preserve"> </w:t>
      </w:r>
      <w:r w:rsidRPr="00300962">
        <w:rPr>
          <w:rFonts w:ascii="Calibri" w:hAnsi="Calibri" w:cs="Calibri"/>
          <w:sz w:val="22"/>
          <w:szCs w:val="22"/>
          <w:lang w:val="en-AU"/>
        </w:rPr>
        <w:t>osteogenesis compared to control</w:t>
      </w:r>
      <w:r>
        <w:rPr>
          <w:rFonts w:ascii="Calibri" w:hAnsi="Calibri" w:cs="Calibri"/>
          <w:sz w:val="22"/>
          <w:szCs w:val="22"/>
          <w:lang w:val="en-AU"/>
        </w:rPr>
        <w:t xml:space="preserve"> </w:t>
      </w:r>
      <w:r w:rsidRPr="00300962">
        <w:rPr>
          <w:rFonts w:ascii="Calibri" w:hAnsi="Calibri" w:cs="Calibri"/>
          <w:sz w:val="22"/>
          <w:szCs w:val="22"/>
          <w:lang w:val="en-AU"/>
        </w:rPr>
        <w:t>oligonucleotides. Transfection of these miRNA</w:t>
      </w:r>
      <w:r>
        <w:rPr>
          <w:rFonts w:ascii="Calibri" w:hAnsi="Calibri" w:cs="Calibri"/>
          <w:sz w:val="22"/>
          <w:szCs w:val="22"/>
          <w:lang w:val="en-AU"/>
        </w:rPr>
        <w:t xml:space="preserve"> </w:t>
      </w:r>
      <w:r w:rsidRPr="00300962">
        <w:rPr>
          <w:rFonts w:ascii="Calibri" w:hAnsi="Calibri" w:cs="Calibri"/>
          <w:sz w:val="22"/>
          <w:szCs w:val="22"/>
          <w:lang w:val="en-AU"/>
        </w:rPr>
        <w:t>mimics was also observed to enhance the</w:t>
      </w:r>
      <w:r>
        <w:rPr>
          <w:rFonts w:ascii="Calibri" w:hAnsi="Calibri" w:cs="Calibri"/>
          <w:sz w:val="22"/>
          <w:szCs w:val="22"/>
          <w:lang w:val="en-AU"/>
        </w:rPr>
        <w:t xml:space="preserve"> </w:t>
      </w:r>
      <w:r w:rsidRPr="00300962">
        <w:rPr>
          <w:rFonts w:ascii="Calibri" w:hAnsi="Calibri" w:cs="Calibri"/>
          <w:sz w:val="22"/>
          <w:szCs w:val="22"/>
          <w:lang w:val="en-AU"/>
        </w:rPr>
        <w:t>deposition of mineral by MSC encapsulated in a</w:t>
      </w:r>
      <w:r>
        <w:rPr>
          <w:rFonts w:ascii="Calibri" w:hAnsi="Calibri" w:cs="Calibri"/>
          <w:sz w:val="22"/>
          <w:szCs w:val="22"/>
          <w:lang w:val="en-AU"/>
        </w:rPr>
        <w:t xml:space="preserve"> </w:t>
      </w:r>
      <w:r w:rsidRPr="00300962">
        <w:rPr>
          <w:rFonts w:ascii="Calibri" w:hAnsi="Calibri" w:cs="Calibri"/>
          <w:sz w:val="22"/>
          <w:szCs w:val="22"/>
          <w:lang w:val="en-AU"/>
        </w:rPr>
        <w:t>3D PEG-</w:t>
      </w:r>
      <w:proofErr w:type="spellStart"/>
      <w:r w:rsidRPr="00300962">
        <w:rPr>
          <w:rFonts w:ascii="Calibri" w:hAnsi="Calibri" w:cs="Calibri"/>
          <w:sz w:val="22"/>
          <w:szCs w:val="22"/>
          <w:lang w:val="en-AU"/>
        </w:rPr>
        <w:t>gelatin</w:t>
      </w:r>
      <w:proofErr w:type="spellEnd"/>
      <w:r w:rsidRPr="00300962">
        <w:rPr>
          <w:rFonts w:ascii="Calibri" w:hAnsi="Calibri" w:cs="Calibri"/>
          <w:sz w:val="22"/>
          <w:szCs w:val="22"/>
          <w:lang w:val="en-AU"/>
        </w:rPr>
        <w:t xml:space="preserve"> hydrogel. A</w:t>
      </w:r>
      <w:r w:rsidR="00CE2C3E">
        <w:rPr>
          <w:rFonts w:ascii="Calibri" w:hAnsi="Calibri" w:cs="Calibri"/>
          <w:sz w:val="22"/>
          <w:szCs w:val="22"/>
          <w:lang w:val="en-AU"/>
        </w:rPr>
        <w:t xml:space="preserve"> simple </w:t>
      </w:r>
      <w:r w:rsidRPr="00300962">
        <w:rPr>
          <w:rFonts w:ascii="Calibri" w:hAnsi="Calibri" w:cs="Calibri"/>
          <w:sz w:val="22"/>
          <w:szCs w:val="22"/>
          <w:lang w:val="en-AU"/>
        </w:rPr>
        <w:t>system was develop</w:t>
      </w:r>
      <w:r w:rsidR="00CE2C3E">
        <w:rPr>
          <w:rFonts w:ascii="Calibri" w:hAnsi="Calibri" w:cs="Calibri"/>
          <w:sz w:val="22"/>
          <w:szCs w:val="22"/>
          <w:lang w:val="en-AU"/>
        </w:rPr>
        <w:t>ed</w:t>
      </w:r>
      <w:r>
        <w:rPr>
          <w:rFonts w:ascii="Calibri" w:hAnsi="Calibri" w:cs="Calibri"/>
          <w:sz w:val="22"/>
          <w:szCs w:val="22"/>
          <w:lang w:val="en-AU"/>
        </w:rPr>
        <w:t xml:space="preserve"> </w:t>
      </w:r>
      <w:r w:rsidRPr="00300962">
        <w:rPr>
          <w:rFonts w:ascii="Calibri" w:hAnsi="Calibri" w:cs="Calibri"/>
          <w:sz w:val="22"/>
          <w:szCs w:val="22"/>
          <w:lang w:val="en-AU"/>
        </w:rPr>
        <w:t xml:space="preserve">to </w:t>
      </w:r>
      <w:r w:rsidR="00CE2C3E">
        <w:rPr>
          <w:rFonts w:ascii="Calibri" w:hAnsi="Calibri" w:cs="Calibri"/>
          <w:sz w:val="22"/>
          <w:szCs w:val="22"/>
          <w:lang w:val="en-AU"/>
        </w:rPr>
        <w:t xml:space="preserve">directly </w:t>
      </w:r>
      <w:r w:rsidRPr="00300962">
        <w:rPr>
          <w:rFonts w:ascii="Calibri" w:hAnsi="Calibri" w:cs="Calibri"/>
          <w:sz w:val="22"/>
          <w:szCs w:val="22"/>
          <w:lang w:val="en-AU"/>
        </w:rPr>
        <w:t xml:space="preserve">transfect MSCs </w:t>
      </w:r>
      <w:r w:rsidR="00CE2C3E">
        <w:rPr>
          <w:rFonts w:ascii="Calibri" w:hAnsi="Calibri" w:cs="Calibri"/>
          <w:sz w:val="22"/>
          <w:szCs w:val="22"/>
          <w:lang w:val="en-AU"/>
        </w:rPr>
        <w:t>via</w:t>
      </w:r>
      <w:r w:rsidRPr="00300962">
        <w:rPr>
          <w:rFonts w:ascii="Calibri" w:hAnsi="Calibri" w:cs="Calibri"/>
          <w:sz w:val="22"/>
          <w:szCs w:val="22"/>
          <w:lang w:val="en-AU"/>
        </w:rPr>
        <w:t xml:space="preserve"> </w:t>
      </w:r>
      <w:proofErr w:type="spellStart"/>
      <w:proofErr w:type="gramStart"/>
      <w:r w:rsidRPr="00300962">
        <w:rPr>
          <w:rFonts w:ascii="Calibri" w:hAnsi="Calibri" w:cs="Calibri"/>
          <w:sz w:val="22"/>
          <w:szCs w:val="22"/>
          <w:lang w:val="en-AU"/>
        </w:rPr>
        <w:t>miRNA:PEI</w:t>
      </w:r>
      <w:proofErr w:type="spellEnd"/>
      <w:proofErr w:type="gramEnd"/>
      <w:r>
        <w:rPr>
          <w:rFonts w:ascii="Calibri" w:hAnsi="Calibri" w:cs="Calibri"/>
          <w:sz w:val="22"/>
          <w:szCs w:val="22"/>
          <w:lang w:val="en-AU"/>
        </w:rPr>
        <w:t xml:space="preserve"> </w:t>
      </w:r>
      <w:r w:rsidRPr="00300962">
        <w:rPr>
          <w:rFonts w:ascii="Calibri" w:hAnsi="Calibri" w:cs="Calibri"/>
          <w:sz w:val="22"/>
          <w:szCs w:val="22"/>
          <w:lang w:val="en-AU"/>
        </w:rPr>
        <w:t>complexes incorporated within the hydrogel</w:t>
      </w:r>
      <w:r>
        <w:rPr>
          <w:rFonts w:ascii="Calibri" w:hAnsi="Calibri" w:cs="Calibri"/>
          <w:sz w:val="22"/>
          <w:szCs w:val="22"/>
          <w:lang w:val="en-AU"/>
        </w:rPr>
        <w:t xml:space="preserve"> </w:t>
      </w:r>
      <w:r w:rsidRPr="00300962">
        <w:rPr>
          <w:rFonts w:ascii="Calibri" w:hAnsi="Calibri" w:cs="Calibri"/>
          <w:sz w:val="22"/>
          <w:szCs w:val="22"/>
          <w:lang w:val="en-AU"/>
        </w:rPr>
        <w:t xml:space="preserve">matrix. </w:t>
      </w:r>
      <w:r w:rsidR="00CE2C3E">
        <w:rPr>
          <w:rFonts w:ascii="Calibri" w:hAnsi="Calibri" w:cs="Calibri"/>
          <w:sz w:val="22"/>
          <w:szCs w:val="22"/>
          <w:lang w:val="en-AU"/>
        </w:rPr>
        <w:t xml:space="preserve">We showed that it was not only </w:t>
      </w:r>
      <w:r w:rsidR="00CE2C3E" w:rsidRPr="00CE2C3E">
        <w:rPr>
          <w:rFonts w:ascii="Calibri" w:hAnsi="Calibri" w:cs="Calibri"/>
          <w:sz w:val="22"/>
          <w:szCs w:val="22"/>
          <w:lang w:val="en-AU"/>
        </w:rPr>
        <w:t xml:space="preserve">possible to transfect MSCs with miRNAs </w:t>
      </w:r>
      <w:r w:rsidR="00CE2C3E" w:rsidRPr="009B5729">
        <w:rPr>
          <w:rFonts w:ascii="Calibri" w:hAnsi="Calibri" w:cs="Calibri"/>
          <w:i/>
          <w:sz w:val="22"/>
          <w:szCs w:val="22"/>
          <w:lang w:val="en-AU"/>
        </w:rPr>
        <w:t>in situ</w:t>
      </w:r>
      <w:r w:rsidR="00CE2C3E">
        <w:rPr>
          <w:rFonts w:ascii="Calibri" w:hAnsi="Calibri" w:cs="Calibri"/>
          <w:sz w:val="22"/>
          <w:szCs w:val="22"/>
          <w:lang w:val="en-AU"/>
        </w:rPr>
        <w:t xml:space="preserve">, but that the extent of matrix mineralisation and </w:t>
      </w:r>
      <w:r w:rsidRPr="00300962">
        <w:rPr>
          <w:rFonts w:ascii="Calibri" w:hAnsi="Calibri" w:cs="Calibri"/>
          <w:sz w:val="22"/>
          <w:szCs w:val="22"/>
          <w:lang w:val="en-AU"/>
        </w:rPr>
        <w:t xml:space="preserve">osteogenic gene expression </w:t>
      </w:r>
      <w:r w:rsidR="00CE2C3E">
        <w:rPr>
          <w:rFonts w:ascii="Calibri" w:hAnsi="Calibri" w:cs="Calibri"/>
          <w:sz w:val="22"/>
          <w:szCs w:val="22"/>
          <w:lang w:val="en-AU"/>
        </w:rPr>
        <w:t>was superior to MSCs transfected</w:t>
      </w:r>
      <w:r w:rsidRPr="00300962">
        <w:rPr>
          <w:rFonts w:ascii="Calibri" w:hAnsi="Calibri" w:cs="Calibri"/>
          <w:sz w:val="22"/>
          <w:szCs w:val="22"/>
          <w:lang w:val="en-AU"/>
        </w:rPr>
        <w:t xml:space="preserve"> prior to</w:t>
      </w:r>
      <w:r>
        <w:rPr>
          <w:rFonts w:ascii="Calibri" w:hAnsi="Calibri" w:cs="Calibri"/>
          <w:sz w:val="22"/>
          <w:szCs w:val="22"/>
          <w:lang w:val="en-AU"/>
        </w:rPr>
        <w:t xml:space="preserve"> </w:t>
      </w:r>
      <w:r w:rsidRPr="00300962">
        <w:rPr>
          <w:rFonts w:ascii="Calibri" w:hAnsi="Calibri" w:cs="Calibri"/>
          <w:sz w:val="22"/>
          <w:szCs w:val="22"/>
          <w:lang w:val="en-AU"/>
        </w:rPr>
        <w:t>encapsulation.</w:t>
      </w:r>
    </w:p>
    <w:p w14:paraId="4446F385" w14:textId="660EEA91" w:rsidR="00EB07F7" w:rsidRDefault="00EB07F7" w:rsidP="00300962">
      <w:pPr>
        <w:jc w:val="both"/>
        <w:rPr>
          <w:rFonts w:ascii="Calibri" w:hAnsi="Calibri" w:cs="Calibri"/>
          <w:sz w:val="22"/>
          <w:szCs w:val="22"/>
          <w:lang w:val="en-AU"/>
        </w:rPr>
      </w:pPr>
    </w:p>
    <w:p w14:paraId="4C5C4404" w14:textId="2B806F3F" w:rsidR="00300962" w:rsidRDefault="00300962" w:rsidP="00300962">
      <w:pPr>
        <w:jc w:val="both"/>
        <w:rPr>
          <w:rFonts w:ascii="Calibri" w:hAnsi="Calibri" w:cs="Calibri"/>
          <w:sz w:val="22"/>
          <w:szCs w:val="22"/>
          <w:lang w:val="en-AU"/>
        </w:rPr>
      </w:pPr>
      <w:r w:rsidRPr="00300962">
        <w:rPr>
          <w:rFonts w:ascii="Calibri" w:hAnsi="Calibri" w:cs="Calibri"/>
          <w:sz w:val="22"/>
          <w:szCs w:val="22"/>
          <w:lang w:val="en-AU"/>
        </w:rPr>
        <w:t>Collectively, these data show the importance of</w:t>
      </w:r>
      <w:r>
        <w:rPr>
          <w:rFonts w:ascii="Calibri" w:hAnsi="Calibri" w:cs="Calibri"/>
          <w:sz w:val="22"/>
          <w:szCs w:val="22"/>
          <w:lang w:val="en-AU"/>
        </w:rPr>
        <w:t xml:space="preserve"> </w:t>
      </w:r>
      <w:r w:rsidRPr="00300962">
        <w:rPr>
          <w:rFonts w:ascii="Calibri" w:hAnsi="Calibri" w:cs="Calibri"/>
          <w:sz w:val="22"/>
          <w:szCs w:val="22"/>
          <w:lang w:val="en-AU"/>
        </w:rPr>
        <w:t xml:space="preserve">miRNA </w:t>
      </w:r>
      <w:proofErr w:type="spellStart"/>
      <w:r w:rsidRPr="00300962">
        <w:rPr>
          <w:rFonts w:ascii="Calibri" w:hAnsi="Calibri" w:cs="Calibri"/>
          <w:sz w:val="22"/>
          <w:szCs w:val="22"/>
          <w:lang w:val="en-AU"/>
        </w:rPr>
        <w:t>signaling</w:t>
      </w:r>
      <w:proofErr w:type="spellEnd"/>
      <w:r w:rsidRPr="00300962">
        <w:rPr>
          <w:rFonts w:ascii="Calibri" w:hAnsi="Calibri" w:cs="Calibri"/>
          <w:sz w:val="22"/>
          <w:szCs w:val="22"/>
          <w:lang w:val="en-AU"/>
        </w:rPr>
        <w:t xml:space="preserve"> in MSC </w:t>
      </w:r>
      <w:proofErr w:type="spellStart"/>
      <w:r w:rsidRPr="00300962">
        <w:rPr>
          <w:rFonts w:ascii="Calibri" w:hAnsi="Calibri" w:cs="Calibri"/>
          <w:sz w:val="22"/>
          <w:szCs w:val="22"/>
          <w:lang w:val="en-AU"/>
        </w:rPr>
        <w:t>mechanotransduction</w:t>
      </w:r>
      <w:proofErr w:type="spellEnd"/>
      <w:r>
        <w:rPr>
          <w:rFonts w:ascii="Calibri" w:hAnsi="Calibri" w:cs="Calibri"/>
          <w:sz w:val="22"/>
          <w:szCs w:val="22"/>
          <w:lang w:val="en-AU"/>
        </w:rPr>
        <w:t xml:space="preserve"> </w:t>
      </w:r>
      <w:r w:rsidRPr="00300962">
        <w:rPr>
          <w:rFonts w:ascii="Calibri" w:hAnsi="Calibri" w:cs="Calibri"/>
          <w:sz w:val="22"/>
          <w:szCs w:val="22"/>
          <w:lang w:val="en-AU"/>
        </w:rPr>
        <w:t>and demonstrate how the use of specific miRNA</w:t>
      </w:r>
      <w:r>
        <w:rPr>
          <w:rFonts w:ascii="Calibri" w:hAnsi="Calibri" w:cs="Calibri"/>
          <w:sz w:val="22"/>
          <w:szCs w:val="22"/>
          <w:lang w:val="en-AU"/>
        </w:rPr>
        <w:t xml:space="preserve"> </w:t>
      </w:r>
      <w:r w:rsidRPr="00300962">
        <w:rPr>
          <w:rFonts w:ascii="Calibri" w:hAnsi="Calibri" w:cs="Calibri"/>
          <w:sz w:val="22"/>
          <w:szCs w:val="22"/>
          <w:lang w:val="en-AU"/>
        </w:rPr>
        <w:t xml:space="preserve">modulators can be used to </w:t>
      </w:r>
      <w:r w:rsidR="003E5A25">
        <w:rPr>
          <w:rFonts w:ascii="Calibri" w:hAnsi="Calibri" w:cs="Calibri"/>
          <w:sz w:val="22"/>
          <w:szCs w:val="22"/>
          <w:lang w:val="en-AU"/>
        </w:rPr>
        <w:t xml:space="preserve">modulate </w:t>
      </w:r>
      <w:proofErr w:type="spellStart"/>
      <w:r w:rsidR="003E5A25">
        <w:rPr>
          <w:rFonts w:ascii="Calibri" w:hAnsi="Calibri" w:cs="Calibri"/>
          <w:sz w:val="22"/>
          <w:szCs w:val="22"/>
          <w:lang w:val="en-AU"/>
        </w:rPr>
        <w:t>mechanotransdcution</w:t>
      </w:r>
      <w:proofErr w:type="spellEnd"/>
      <w:r w:rsidR="003E5A25">
        <w:rPr>
          <w:rFonts w:ascii="Calibri" w:hAnsi="Calibri" w:cs="Calibri"/>
          <w:sz w:val="22"/>
          <w:szCs w:val="22"/>
          <w:lang w:val="en-AU"/>
        </w:rPr>
        <w:t xml:space="preserve"> processes and </w:t>
      </w:r>
      <w:r w:rsidRPr="00300962">
        <w:rPr>
          <w:rFonts w:ascii="Calibri" w:hAnsi="Calibri" w:cs="Calibri"/>
          <w:sz w:val="22"/>
          <w:szCs w:val="22"/>
          <w:lang w:val="en-AU"/>
        </w:rPr>
        <w:t>promote MSC</w:t>
      </w:r>
      <w:r>
        <w:rPr>
          <w:rFonts w:ascii="Calibri" w:hAnsi="Calibri" w:cs="Calibri"/>
          <w:sz w:val="22"/>
          <w:szCs w:val="22"/>
          <w:lang w:val="en-AU"/>
        </w:rPr>
        <w:t xml:space="preserve"> </w:t>
      </w:r>
      <w:r w:rsidRPr="00300962">
        <w:rPr>
          <w:rFonts w:ascii="Calibri" w:hAnsi="Calibri" w:cs="Calibri"/>
          <w:sz w:val="22"/>
          <w:szCs w:val="22"/>
          <w:lang w:val="en-AU"/>
        </w:rPr>
        <w:t xml:space="preserve">osteogenesis. </w:t>
      </w:r>
      <w:r w:rsidR="00CE2C3E">
        <w:rPr>
          <w:rFonts w:ascii="Calibri" w:hAnsi="Calibri" w:cs="Calibri"/>
          <w:sz w:val="22"/>
          <w:szCs w:val="22"/>
          <w:lang w:val="en-AU"/>
        </w:rPr>
        <w:t xml:space="preserve">Furthermore, </w:t>
      </w:r>
      <w:r w:rsidR="00CE2C3E" w:rsidRPr="009B5729">
        <w:rPr>
          <w:rFonts w:ascii="Calibri" w:hAnsi="Calibri" w:cs="Calibri"/>
          <w:i/>
          <w:sz w:val="22"/>
          <w:szCs w:val="22"/>
          <w:lang w:val="en-AU"/>
        </w:rPr>
        <w:t>in situ</w:t>
      </w:r>
      <w:r w:rsidR="00CE2C3E">
        <w:rPr>
          <w:rFonts w:ascii="Calibri" w:hAnsi="Calibri" w:cs="Calibri"/>
          <w:sz w:val="22"/>
          <w:szCs w:val="22"/>
          <w:lang w:val="en-AU"/>
        </w:rPr>
        <w:t xml:space="preserve"> MS</w:t>
      </w:r>
      <w:r w:rsidR="009B5729">
        <w:rPr>
          <w:rFonts w:ascii="Calibri" w:hAnsi="Calibri" w:cs="Calibri"/>
          <w:sz w:val="22"/>
          <w:szCs w:val="22"/>
          <w:lang w:val="en-AU"/>
        </w:rPr>
        <w:t>C</w:t>
      </w:r>
      <w:r w:rsidR="00CE2C3E">
        <w:rPr>
          <w:rFonts w:ascii="Calibri" w:hAnsi="Calibri" w:cs="Calibri"/>
          <w:sz w:val="22"/>
          <w:szCs w:val="22"/>
          <w:lang w:val="en-AU"/>
        </w:rPr>
        <w:t xml:space="preserve"> transfection via d</w:t>
      </w:r>
      <w:r w:rsidRPr="00300962">
        <w:rPr>
          <w:rFonts w:ascii="Calibri" w:hAnsi="Calibri" w:cs="Calibri"/>
          <w:sz w:val="22"/>
          <w:szCs w:val="22"/>
          <w:lang w:val="en-AU"/>
        </w:rPr>
        <w:t>elivery of miRNAs directly from a</w:t>
      </w:r>
      <w:r>
        <w:rPr>
          <w:rFonts w:ascii="Calibri" w:hAnsi="Calibri" w:cs="Calibri"/>
          <w:sz w:val="22"/>
          <w:szCs w:val="22"/>
          <w:lang w:val="en-AU"/>
        </w:rPr>
        <w:t xml:space="preserve"> </w:t>
      </w:r>
      <w:r w:rsidRPr="00300962">
        <w:rPr>
          <w:rFonts w:ascii="Calibri" w:hAnsi="Calibri" w:cs="Calibri"/>
          <w:sz w:val="22"/>
          <w:szCs w:val="22"/>
          <w:lang w:val="en-AU"/>
        </w:rPr>
        <w:t xml:space="preserve">hydrogel matrix is a </w:t>
      </w:r>
      <w:r w:rsidR="00CE2C3E">
        <w:rPr>
          <w:rFonts w:ascii="Calibri" w:hAnsi="Calibri" w:cs="Calibri"/>
          <w:sz w:val="22"/>
          <w:szCs w:val="22"/>
          <w:lang w:val="en-AU"/>
        </w:rPr>
        <w:t xml:space="preserve">simple but </w:t>
      </w:r>
      <w:r w:rsidRPr="00300962">
        <w:rPr>
          <w:rFonts w:ascii="Calibri" w:hAnsi="Calibri" w:cs="Calibri"/>
          <w:sz w:val="22"/>
          <w:szCs w:val="22"/>
          <w:lang w:val="en-AU"/>
        </w:rPr>
        <w:t>promising means to improve</w:t>
      </w:r>
      <w:r>
        <w:rPr>
          <w:rFonts w:ascii="Calibri" w:hAnsi="Calibri" w:cs="Calibri"/>
          <w:sz w:val="22"/>
          <w:szCs w:val="22"/>
          <w:lang w:val="en-AU"/>
        </w:rPr>
        <w:t xml:space="preserve"> </w:t>
      </w:r>
      <w:r w:rsidRPr="00300962">
        <w:rPr>
          <w:rFonts w:ascii="Calibri" w:hAnsi="Calibri" w:cs="Calibri"/>
          <w:sz w:val="22"/>
          <w:szCs w:val="22"/>
          <w:lang w:val="en-AU"/>
        </w:rPr>
        <w:t xml:space="preserve">MSC osteogenesis </w:t>
      </w:r>
      <w:r w:rsidR="003E5A25">
        <w:rPr>
          <w:rFonts w:ascii="Calibri" w:hAnsi="Calibri" w:cs="Calibri"/>
          <w:sz w:val="22"/>
          <w:szCs w:val="22"/>
          <w:lang w:val="en-AU"/>
        </w:rPr>
        <w:t>for</w:t>
      </w:r>
      <w:r w:rsidR="009B5729">
        <w:rPr>
          <w:rFonts w:ascii="Calibri" w:hAnsi="Calibri" w:cs="Calibri"/>
          <w:sz w:val="22"/>
          <w:szCs w:val="22"/>
          <w:lang w:val="en-AU"/>
        </w:rPr>
        <w:t xml:space="preserve"> bone</w:t>
      </w:r>
      <w:r w:rsidRPr="00300962">
        <w:rPr>
          <w:rFonts w:ascii="Calibri" w:hAnsi="Calibri" w:cs="Calibri"/>
          <w:sz w:val="22"/>
          <w:szCs w:val="22"/>
          <w:lang w:val="en-AU"/>
        </w:rPr>
        <w:t xml:space="preserve"> tissue-engineering </w:t>
      </w:r>
      <w:r w:rsidR="009B5729">
        <w:rPr>
          <w:rFonts w:ascii="Calibri" w:hAnsi="Calibri" w:cs="Calibri"/>
          <w:sz w:val="22"/>
          <w:szCs w:val="22"/>
          <w:lang w:val="en-AU"/>
        </w:rPr>
        <w:t>applications</w:t>
      </w:r>
      <w:r w:rsidRPr="00300962">
        <w:rPr>
          <w:rFonts w:ascii="Calibri" w:hAnsi="Calibri" w:cs="Calibri"/>
          <w:sz w:val="22"/>
          <w:szCs w:val="22"/>
          <w:lang w:val="en-AU"/>
        </w:rPr>
        <w:t>.</w:t>
      </w:r>
    </w:p>
    <w:p w14:paraId="7F800EC2" w14:textId="77777777" w:rsidR="00300962" w:rsidRPr="00300962" w:rsidRDefault="00300962" w:rsidP="00300962">
      <w:pPr>
        <w:jc w:val="both"/>
        <w:rPr>
          <w:rFonts w:ascii="Calibri" w:hAnsi="Calibri" w:cs="Calibri"/>
          <w:sz w:val="22"/>
          <w:szCs w:val="22"/>
          <w:lang w:val="en-AU"/>
        </w:rPr>
      </w:pPr>
    </w:p>
    <w:p w14:paraId="02643439" w14:textId="29C53911" w:rsidR="00045573" w:rsidRPr="006B3866" w:rsidRDefault="00045573" w:rsidP="00711813">
      <w:pPr>
        <w:jc w:val="both"/>
        <w:rPr>
          <w:rFonts w:ascii="Calibri" w:hAnsi="Calibri" w:cs="Calibri"/>
          <w:sz w:val="22"/>
          <w:szCs w:val="22"/>
          <w:lang w:val="en-AU"/>
        </w:rPr>
      </w:pPr>
    </w:p>
    <w:p w14:paraId="734471FB" w14:textId="77777777" w:rsidR="00641190" w:rsidRPr="006B3866" w:rsidRDefault="00641190" w:rsidP="00711813">
      <w:pPr>
        <w:jc w:val="both"/>
        <w:rPr>
          <w:rFonts w:ascii="Calibri" w:hAnsi="Calibri" w:cs="Calibri"/>
          <w:sz w:val="22"/>
          <w:szCs w:val="22"/>
        </w:rPr>
      </w:pPr>
    </w:p>
    <w:p w14:paraId="19A0A76F" w14:textId="77777777" w:rsidR="00F97620" w:rsidRPr="006B3866" w:rsidRDefault="00F97620" w:rsidP="00DC0ABB">
      <w:pPr>
        <w:jc w:val="both"/>
        <w:rPr>
          <w:rFonts w:ascii="Calibri" w:hAnsi="Calibri" w:cs="Calibri"/>
          <w:sz w:val="22"/>
          <w:szCs w:val="22"/>
          <w:lang w:val="en-AU"/>
        </w:rPr>
      </w:pPr>
    </w:p>
    <w:sectPr w:rsidR="00F97620" w:rsidRPr="006B3866" w:rsidSect="00DC0ABB">
      <w:pgSz w:w="11906" w:h="16838" w:code="9"/>
      <w:pgMar w:top="1134" w:right="1134" w:bottom="1134" w:left="1134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9925E4"/>
    <w:multiLevelType w:val="hybridMultilevel"/>
    <w:tmpl w:val="D514DEF8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57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6BB"/>
    <w:rsid w:val="0004118E"/>
    <w:rsid w:val="00045573"/>
    <w:rsid w:val="00092E59"/>
    <w:rsid w:val="001A21AD"/>
    <w:rsid w:val="002078AD"/>
    <w:rsid w:val="002226BB"/>
    <w:rsid w:val="00225236"/>
    <w:rsid w:val="002272B0"/>
    <w:rsid w:val="00237652"/>
    <w:rsid w:val="00300962"/>
    <w:rsid w:val="00300B92"/>
    <w:rsid w:val="0030585E"/>
    <w:rsid w:val="00323558"/>
    <w:rsid w:val="00387491"/>
    <w:rsid w:val="003E5A25"/>
    <w:rsid w:val="00483B05"/>
    <w:rsid w:val="004E28B9"/>
    <w:rsid w:val="004E5450"/>
    <w:rsid w:val="00534780"/>
    <w:rsid w:val="0055229D"/>
    <w:rsid w:val="00562D19"/>
    <w:rsid w:val="0059609A"/>
    <w:rsid w:val="00597659"/>
    <w:rsid w:val="005E48A2"/>
    <w:rsid w:val="005F19FF"/>
    <w:rsid w:val="00641190"/>
    <w:rsid w:val="006B3866"/>
    <w:rsid w:val="00711813"/>
    <w:rsid w:val="00724E3C"/>
    <w:rsid w:val="00743C46"/>
    <w:rsid w:val="008909C9"/>
    <w:rsid w:val="00947B77"/>
    <w:rsid w:val="009B2641"/>
    <w:rsid w:val="009B5729"/>
    <w:rsid w:val="009E2228"/>
    <w:rsid w:val="009F06D6"/>
    <w:rsid w:val="00A266B4"/>
    <w:rsid w:val="00BC5FCC"/>
    <w:rsid w:val="00C043A9"/>
    <w:rsid w:val="00C60A71"/>
    <w:rsid w:val="00CC165A"/>
    <w:rsid w:val="00CE2C3E"/>
    <w:rsid w:val="00D55F3B"/>
    <w:rsid w:val="00DA2731"/>
    <w:rsid w:val="00DC0ABB"/>
    <w:rsid w:val="00DF1C8E"/>
    <w:rsid w:val="00EB07F7"/>
    <w:rsid w:val="00EF12F3"/>
    <w:rsid w:val="00F26BBE"/>
    <w:rsid w:val="00F52AC8"/>
    <w:rsid w:val="00F97620"/>
    <w:rsid w:val="00FC1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89A172"/>
  <w15:chartTrackingRefBased/>
  <w15:docId w15:val="{D373E056-3419-B544-94B4-1F57AF4F6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  <w:szCs w:val="20"/>
    </w:rPr>
  </w:style>
  <w:style w:type="paragraph" w:styleId="Heading3">
    <w:name w:val="heading 3"/>
    <w:basedOn w:val="Normal"/>
    <w:next w:val="Normal"/>
    <w:qFormat/>
    <w:pPr>
      <w:keepNext/>
      <w:spacing w:before="120" w:after="60"/>
      <w:jc w:val="center"/>
      <w:outlineLvl w:val="2"/>
    </w:pPr>
    <w:rPr>
      <w:b/>
      <w:caps/>
      <w:szCs w:val="20"/>
    </w:rPr>
  </w:style>
  <w:style w:type="paragraph" w:styleId="Heading5">
    <w:name w:val="heading 5"/>
    <w:basedOn w:val="Normal"/>
    <w:next w:val="Normal"/>
    <w:link w:val="Heading5Char"/>
    <w:uiPriority w:val="9"/>
    <w:qFormat/>
    <w:rsid w:val="00420F72"/>
    <w:pPr>
      <w:spacing w:before="240" w:after="60"/>
      <w:outlineLvl w:val="4"/>
    </w:pPr>
    <w:rPr>
      <w:rFonts w:ascii="Calibri" w:eastAsia="PMingLiU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semiHidden/>
    <w:pPr>
      <w:spacing w:before="120" w:after="120"/>
      <w:ind w:left="-90"/>
      <w:jc w:val="center"/>
    </w:pPr>
    <w:rPr>
      <w:rFonts w:ascii="Times" w:hAnsi="Times"/>
      <w:szCs w:val="20"/>
    </w:rPr>
  </w:style>
  <w:style w:type="character" w:customStyle="1" w:styleId="Heading5Char">
    <w:name w:val="Heading 5 Char"/>
    <w:link w:val="Heading5"/>
    <w:uiPriority w:val="9"/>
    <w:semiHidden/>
    <w:rsid w:val="00420F72"/>
    <w:rPr>
      <w:rFonts w:ascii="Calibri" w:eastAsia="PMingLiU" w:hAnsi="Calibri" w:cs="Times New Roman"/>
      <w:b/>
      <w:bCs/>
      <w:i/>
      <w:iCs/>
      <w:sz w:val="26"/>
      <w:szCs w:val="26"/>
      <w:lang w:eastAsia="en-US"/>
    </w:rPr>
  </w:style>
  <w:style w:type="paragraph" w:customStyle="1" w:styleId="Default">
    <w:name w:val="Default"/>
    <w:rsid w:val="00D44795"/>
    <w:pPr>
      <w:widowControl w:val="0"/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6B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6B31"/>
    <w:rPr>
      <w:rFonts w:ascii="Tahoma" w:hAnsi="Tahoma" w:cs="Tahoma"/>
      <w:sz w:val="16"/>
      <w:szCs w:val="16"/>
      <w:lang w:val="en-US" w:eastAsia="en-US"/>
    </w:rPr>
  </w:style>
  <w:style w:type="character" w:styleId="Strong">
    <w:name w:val="Strong"/>
    <w:uiPriority w:val="22"/>
    <w:qFormat/>
    <w:rsid w:val="00743C46"/>
    <w:rPr>
      <w:b/>
      <w:bCs/>
    </w:rPr>
  </w:style>
  <w:style w:type="character" w:styleId="Hyperlink">
    <w:name w:val="Hyperlink"/>
    <w:uiPriority w:val="99"/>
    <w:unhideWhenUsed/>
    <w:rsid w:val="00DC0ABB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DC0AB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A21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21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21AD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21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21AD"/>
    <w:rPr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74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448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Format for ConnectED 2007</vt:lpstr>
    </vt:vector>
  </TitlesOfParts>
  <Company>clems</Company>
  <LinksUpToDate>false</LinksUpToDate>
  <CharactersWithSpaces>3209</CharactersWithSpaces>
  <SharedDoc>false</SharedDoc>
  <HLinks>
    <vt:vector size="6" baseType="variant">
      <vt:variant>
        <vt:i4>6619201</vt:i4>
      </vt:variant>
      <vt:variant>
        <vt:i4>0</vt:i4>
      </vt:variant>
      <vt:variant>
        <vt:i4>0</vt:i4>
      </vt:variant>
      <vt:variant>
        <vt:i4>5</vt:i4>
      </vt:variant>
      <vt:variant>
        <vt:lpwstr>mailto:iccp450@expertevents.com.au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Format for ConnectED 2007</dc:title>
  <dc:subject/>
  <dc:creator>gillard</dc:creator>
  <cp:keywords/>
  <cp:lastModifiedBy>Jess Frith</cp:lastModifiedBy>
  <cp:revision>8</cp:revision>
  <cp:lastPrinted>2013-06-13T05:15:00Z</cp:lastPrinted>
  <dcterms:created xsi:type="dcterms:W3CDTF">2019-08-19T02:08:00Z</dcterms:created>
  <dcterms:modified xsi:type="dcterms:W3CDTF">2019-08-19T06:57:00Z</dcterms:modified>
</cp:coreProperties>
</file>