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6A337A35" w:rsidR="00711813" w:rsidRPr="00FE00A9" w:rsidRDefault="00A437DC" w:rsidP="00F26BBE">
      <w:pPr>
        <w:jc w:val="center"/>
        <w:rPr>
          <w:rFonts w:ascii="Calibri" w:hAnsi="Calibri" w:cs="Calibri"/>
          <w:b/>
          <w:sz w:val="28"/>
          <w:szCs w:val="28"/>
        </w:rPr>
      </w:pPr>
      <w:r w:rsidRPr="00FE00A9">
        <w:rPr>
          <w:rFonts w:ascii="Calibri" w:hAnsi="Calibri" w:cs="Calibri"/>
          <w:b/>
          <w:sz w:val="28"/>
          <w:szCs w:val="28"/>
        </w:rPr>
        <w:t xml:space="preserve">Protein cages as building blocks for nanomaterials: Binary </w:t>
      </w:r>
      <w:proofErr w:type="spellStart"/>
      <w:r w:rsidRPr="00FE00A9">
        <w:rPr>
          <w:rFonts w:ascii="Calibri" w:hAnsi="Calibri" w:cs="Calibri"/>
          <w:b/>
          <w:sz w:val="28"/>
          <w:szCs w:val="28"/>
        </w:rPr>
        <w:t>superlattices</w:t>
      </w:r>
      <w:proofErr w:type="spellEnd"/>
      <w:r w:rsidRPr="00FE00A9">
        <w:rPr>
          <w:rFonts w:ascii="Calibri" w:hAnsi="Calibri" w:cs="Calibri"/>
          <w:b/>
          <w:sz w:val="28"/>
          <w:szCs w:val="28"/>
        </w:rPr>
        <w:t xml:space="preserve"> and DNA origami encapsulation</w:t>
      </w:r>
    </w:p>
    <w:p w14:paraId="57C45AC5" w14:textId="77777777" w:rsidR="00DF1C8E" w:rsidRPr="00FE00A9" w:rsidRDefault="00DF1C8E" w:rsidP="00711813">
      <w:pPr>
        <w:jc w:val="both"/>
        <w:rPr>
          <w:rFonts w:ascii="Calibri" w:hAnsi="Calibri" w:cs="Calibri"/>
          <w:sz w:val="20"/>
          <w:szCs w:val="20"/>
        </w:rPr>
      </w:pPr>
    </w:p>
    <w:p w14:paraId="22DB1634" w14:textId="7B35C7A2" w:rsidR="00DF1C8E" w:rsidRPr="00FE00A9" w:rsidRDefault="00A437DC" w:rsidP="00F26BBE">
      <w:pPr>
        <w:jc w:val="center"/>
        <w:rPr>
          <w:rFonts w:ascii="Calibri" w:hAnsi="Calibri" w:cs="Calibri"/>
          <w:i/>
        </w:rPr>
      </w:pPr>
      <w:r w:rsidRPr="00FE00A9">
        <w:rPr>
          <w:rFonts w:ascii="Calibri" w:hAnsi="Calibri" w:cs="Calibri"/>
          <w:i/>
        </w:rPr>
        <w:t>Mauri</w:t>
      </w:r>
      <w:r w:rsidR="00711813" w:rsidRPr="00FE00A9">
        <w:rPr>
          <w:rFonts w:ascii="Calibri" w:hAnsi="Calibri" w:cs="Calibri"/>
          <w:i/>
        </w:rPr>
        <w:t xml:space="preserve"> A </w:t>
      </w:r>
      <w:proofErr w:type="spellStart"/>
      <w:r w:rsidRPr="00FE00A9">
        <w:rPr>
          <w:rFonts w:ascii="Calibri" w:hAnsi="Calibri" w:cs="Calibri"/>
          <w:i/>
        </w:rPr>
        <w:t>Kostiainen</w:t>
      </w:r>
      <w:r w:rsidR="005F19FF" w:rsidRPr="00FE00A9">
        <w:rPr>
          <w:rFonts w:ascii="Calibri" w:hAnsi="Calibri" w:cs="Calibri"/>
          <w:i/>
          <w:vertAlign w:val="superscript"/>
        </w:rPr>
        <w:t>A</w:t>
      </w:r>
      <w:proofErr w:type="spellEnd"/>
    </w:p>
    <w:p w14:paraId="49EF8C2D" w14:textId="035AC6C9" w:rsidR="00711813" w:rsidRPr="00FE00A9" w:rsidRDefault="005F19FF" w:rsidP="00F26BBE">
      <w:pPr>
        <w:jc w:val="center"/>
        <w:rPr>
          <w:rFonts w:ascii="Calibri" w:hAnsi="Calibri" w:cs="Calibri"/>
          <w:sz w:val="22"/>
          <w:szCs w:val="22"/>
        </w:rPr>
      </w:pPr>
      <w:proofErr w:type="spellStart"/>
      <w:r w:rsidRPr="00FE00A9">
        <w:rPr>
          <w:rFonts w:ascii="Calibri" w:hAnsi="Calibri" w:cs="Calibri"/>
          <w:sz w:val="22"/>
          <w:szCs w:val="22"/>
          <w:vertAlign w:val="superscript"/>
        </w:rPr>
        <w:t>A</w:t>
      </w:r>
      <w:r w:rsidR="00711813" w:rsidRPr="00FE00A9">
        <w:rPr>
          <w:rFonts w:ascii="Calibri" w:hAnsi="Calibri" w:cs="Calibri"/>
          <w:sz w:val="22"/>
          <w:szCs w:val="22"/>
        </w:rPr>
        <w:t>Dep</w:t>
      </w:r>
      <w:r w:rsidR="008909C9" w:rsidRPr="00FE00A9">
        <w:rPr>
          <w:rFonts w:ascii="Calibri" w:hAnsi="Calibri" w:cs="Calibri"/>
          <w:sz w:val="22"/>
          <w:szCs w:val="22"/>
        </w:rPr>
        <w:t>artment</w:t>
      </w:r>
      <w:proofErr w:type="spellEnd"/>
      <w:r w:rsidR="00711813" w:rsidRPr="00FE00A9">
        <w:rPr>
          <w:rFonts w:ascii="Calibri" w:hAnsi="Calibri" w:cs="Calibri"/>
          <w:sz w:val="22"/>
          <w:szCs w:val="22"/>
        </w:rPr>
        <w:t xml:space="preserve"> </w:t>
      </w:r>
      <w:r w:rsidR="00A437DC" w:rsidRPr="00FE00A9">
        <w:rPr>
          <w:rFonts w:ascii="Calibri" w:hAnsi="Calibri" w:cs="Calibri"/>
          <w:sz w:val="22"/>
          <w:szCs w:val="22"/>
        </w:rPr>
        <w:t xml:space="preserve">of </w:t>
      </w:r>
      <w:proofErr w:type="spellStart"/>
      <w:r w:rsidR="00A437DC" w:rsidRPr="00FE00A9">
        <w:rPr>
          <w:rFonts w:ascii="Calibri" w:hAnsi="Calibri" w:cs="Calibri"/>
          <w:sz w:val="22"/>
          <w:szCs w:val="22"/>
        </w:rPr>
        <w:t>Bioproducts</w:t>
      </w:r>
      <w:proofErr w:type="spellEnd"/>
      <w:r w:rsidR="00A437DC" w:rsidRPr="00FE00A9">
        <w:rPr>
          <w:rFonts w:ascii="Calibri" w:hAnsi="Calibri" w:cs="Calibri"/>
          <w:sz w:val="22"/>
          <w:szCs w:val="22"/>
        </w:rPr>
        <w:t xml:space="preserve"> and </w:t>
      </w:r>
      <w:proofErr w:type="spellStart"/>
      <w:r w:rsidR="00A437DC" w:rsidRPr="00FE00A9">
        <w:rPr>
          <w:rFonts w:ascii="Calibri" w:hAnsi="Calibri" w:cs="Calibri"/>
          <w:sz w:val="22"/>
          <w:szCs w:val="22"/>
        </w:rPr>
        <w:t>Biosystems</w:t>
      </w:r>
      <w:proofErr w:type="spellEnd"/>
      <w:r w:rsidR="00711813" w:rsidRPr="00FE00A9">
        <w:rPr>
          <w:rFonts w:ascii="Calibri" w:hAnsi="Calibri" w:cs="Calibri"/>
          <w:sz w:val="22"/>
          <w:szCs w:val="22"/>
        </w:rPr>
        <w:t xml:space="preserve">, </w:t>
      </w:r>
      <w:r w:rsidR="00A437DC" w:rsidRPr="00FE00A9">
        <w:rPr>
          <w:rFonts w:ascii="Calibri" w:hAnsi="Calibri" w:cs="Calibri"/>
          <w:sz w:val="22"/>
          <w:szCs w:val="22"/>
        </w:rPr>
        <w:t>Aalto University</w:t>
      </w:r>
      <w:r w:rsidR="00711813" w:rsidRPr="00FE00A9">
        <w:rPr>
          <w:rFonts w:ascii="Calibri" w:hAnsi="Calibri" w:cs="Calibri"/>
          <w:sz w:val="22"/>
          <w:szCs w:val="22"/>
        </w:rPr>
        <w:t xml:space="preserve">, </w:t>
      </w:r>
      <w:r w:rsidR="00A437DC" w:rsidRPr="00FE00A9">
        <w:rPr>
          <w:rFonts w:ascii="Calibri" w:hAnsi="Calibri" w:cs="Calibri"/>
          <w:sz w:val="22"/>
          <w:szCs w:val="22"/>
        </w:rPr>
        <w:t>Espoo</w:t>
      </w:r>
      <w:r w:rsidR="00EF12F3" w:rsidRPr="00FE00A9">
        <w:rPr>
          <w:rFonts w:ascii="Calibri" w:hAnsi="Calibri" w:cs="Calibri"/>
          <w:sz w:val="22"/>
          <w:szCs w:val="22"/>
        </w:rPr>
        <w:t xml:space="preserve">, </w:t>
      </w:r>
      <w:r w:rsidR="00A437DC" w:rsidRPr="00FE00A9">
        <w:rPr>
          <w:rFonts w:ascii="Calibri" w:hAnsi="Calibri" w:cs="Calibri"/>
          <w:sz w:val="22"/>
          <w:szCs w:val="22"/>
        </w:rPr>
        <w:t>Finland</w:t>
      </w:r>
      <w:r w:rsidR="00711813" w:rsidRPr="00FE00A9">
        <w:rPr>
          <w:rFonts w:ascii="Calibri" w:hAnsi="Calibri" w:cs="Calibri"/>
          <w:sz w:val="22"/>
          <w:szCs w:val="22"/>
        </w:rPr>
        <w:t xml:space="preserve">; </w:t>
      </w:r>
    </w:p>
    <w:p w14:paraId="05E17889" w14:textId="32457CBA" w:rsidR="00711813" w:rsidRPr="00FE00A9" w:rsidRDefault="00711813" w:rsidP="00711813">
      <w:pPr>
        <w:pStyle w:val="Default"/>
        <w:jc w:val="both"/>
        <w:rPr>
          <w:color w:val="auto"/>
          <w:sz w:val="22"/>
          <w:szCs w:val="22"/>
        </w:rPr>
      </w:pPr>
    </w:p>
    <w:p w14:paraId="59131253" w14:textId="18F43D8A" w:rsidR="00A437DC" w:rsidRPr="00FE00A9" w:rsidRDefault="00A437DC" w:rsidP="00A437DC">
      <w:pPr>
        <w:jc w:val="both"/>
        <w:rPr>
          <w:rFonts w:asciiTheme="minorHAnsi" w:hAnsiTheme="minorHAnsi" w:cstheme="minorHAnsi"/>
          <w:sz w:val="22"/>
        </w:rPr>
      </w:pPr>
      <w:r w:rsidRPr="00FE00A9">
        <w:rPr>
          <w:rFonts w:asciiTheme="minorHAnsi" w:hAnsiTheme="minorHAnsi" w:cstheme="minorHAnsi"/>
          <w:sz w:val="22"/>
        </w:rPr>
        <w:t xml:space="preserve">Atomic crystal structure affects the electromagnetic and thermal properties of common matter. Similarly, the nanoscale structure controls the properties of higher length-scale metamaterials, for example nanoparticle </w:t>
      </w:r>
      <w:proofErr w:type="spellStart"/>
      <w:r w:rsidRPr="00FE00A9">
        <w:rPr>
          <w:rFonts w:asciiTheme="minorHAnsi" w:hAnsiTheme="minorHAnsi" w:cstheme="minorHAnsi"/>
          <w:sz w:val="22"/>
        </w:rPr>
        <w:t>superlattices</w:t>
      </w:r>
      <w:proofErr w:type="spellEnd"/>
      <w:r w:rsidRPr="00FE00A9">
        <w:rPr>
          <w:rFonts w:asciiTheme="minorHAnsi" w:hAnsiTheme="minorHAnsi" w:cstheme="minorHAnsi"/>
          <w:sz w:val="22"/>
        </w:rPr>
        <w:t xml:space="preserve"> and photonic crystals. We have investigated the self-assembly and characterization of binary solids that consist of crystalline arrays of 1) viruses / other protein cages and 2) other functional units.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{"citationItems":[{"id":"ITEM-1","itemData":{"DOI":"10.1038/nnano.2012.220","ISBN":"1748-3387","author":[{"dropping-particle":"","family":"Kostiainen","given":"Mauri A","non-dropping-particle":"","parse-names":false,"suffix":""},{"dropping-particle":"","family":"Hiekkataipale","given":"Panu","non-dropping-particle":"","parse-names":false,"suffix":""},{"dropping-particle":"","family":"Laiho","given":"Ari","non-dropping-particle":"","parse-names":false,"suffix":""},{"dropping-particle":"","family":"Lemieux","given":"Vincent","non-dropping-particle":"","parse-names":false,"suffix":""},{"dropping-particle":"","family":"Seitsonen","given":"Jani","non-dropping-particle":"","parse-names":false,"suffix":""},{"dropping-particle":"","family":"Ruokolainen","given":"Janne","non-dropping-particle":"","parse-names":false,"suffix":""},{"dropping-particle":"","family":"Ceci","given":"Pierpaolo","non-dropping-particle":"","parse-names":false,"suffix":""}],"container-title":"Nature Nanotech.","id":"ITEM-1","issue":"1","issued":{"date-parts":[["2013"]]},"note":"10.1038/nnano.2012.220","page":"52-56","publisher":"Nature Publishing Group","title":"Electrostatic assembly of binary nanoparticle superlattices using protein cages","type":"article-journal","volume":"8"},"uris":["http://www.mendeley.com/documents/?uuid=59ff21ae-eca4-4081-9baa-5638d24e898f"]}],"mendeley":{"formattedCitation":"(Kostiainen et al. 2013)","plainTextFormattedCitation":"(Kostiainen et al. 2013)","previouslyFormattedCitation":"&lt;sup&gt;[1]&lt;/sup&gt;"},"properties":{"noteIndex":0},"schema":"https://github.com/citation-style-language/schema/raw/master/csl-citation.json"}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(Kostiainen et al. 2013)</w:t>
      </w:r>
      <w:r w:rsidRPr="00FE00A9">
        <w:rPr>
          <w:rFonts w:asciiTheme="minorHAnsi" w:hAnsiTheme="minorHAnsi" w:cstheme="minorHAnsi"/>
          <w:sz w:val="22"/>
        </w:rPr>
        <w:fldChar w:fldCharType="end"/>
      </w:r>
      <w:r w:rsidRPr="00FE00A9">
        <w:rPr>
          <w:rFonts w:asciiTheme="minorHAnsi" w:hAnsiTheme="minorHAnsi" w:cstheme="minorHAnsi"/>
          <w:sz w:val="22"/>
        </w:rPr>
        <w:t xml:space="preserve"> The extremely </w:t>
      </w:r>
      <w:proofErr w:type="gramStart"/>
      <w:r w:rsidRPr="00FE00A9">
        <w:rPr>
          <w:rFonts w:asciiTheme="minorHAnsi" w:hAnsiTheme="minorHAnsi" w:cstheme="minorHAnsi"/>
          <w:sz w:val="22"/>
        </w:rPr>
        <w:t>well-defined</w:t>
      </w:r>
      <w:proofErr w:type="gramEnd"/>
      <w:r w:rsidRPr="00FE00A9">
        <w:rPr>
          <w:rFonts w:asciiTheme="minorHAnsi" w:hAnsiTheme="minorHAnsi" w:cstheme="minorHAnsi"/>
          <w:sz w:val="22"/>
        </w:rPr>
        <w:t xml:space="preserve"> structure of protein cages (e.g. CCMV, TMV and ferritins) facilitates the construction of co-crystals with large domain sizes. The use of a second functional unit allows highly selective pre- or post-functionalization with different types of functional units, such as fluorescent dyes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{"citationItems":[{"id":"ITEM-1","itemData":{"DOI":"10.1021/acsnano.5b07167","ISSN":"1936086X","abstract":"American Chemical Society. Phthalocyanines (Pc) are non-natural organic dyes with wide and deep impact in materials science, based on their intense absorption at the near-infrared (NIR), longlived fluorescence and high singlet oxygen ( 1 O 2 ) quantum yields. However, Pcs tend to stack in buffer solutions, losing their ability to generate singlet oxygen, which limits their scope of application. Furthermore, Pcs are challenging to organize in crystalline structures. Protein cages, on the other hand, are very promising biological building blocks that can be used to organize different materials into crystalline nanostructures. Here, we combine both kinds of components into photoactive biohybrid crystals. Toward this end, a hierarchical organization process has been designed in which (a) a supramolecular complex is formed between octacationic zinc Pc (1) and a tetraanionic pyrene (2) derivatives, driven by electrostatic and π-π interactions, and (b) the resulting tetrac ationic complex acts as a molecular glue that binds to the outer surface anionic patches of the apoferritin (aFt) protein cage, inducing cocrystallization. The obtained ternary face-centered cubic (fcc) packed cocrystals, with diameters up to 100 μm, retain the optical properties of the pristine dye molecules, such as fluorescence at 695 nm and efficient light-induced 1 O 2 production. Considering that 1O2 is utilized in important technologies such as photodynamic therapy (PDT), water treatments, diagnostic arrays and as an oxidant in organic synthesis, our results demonstrate a powerful methodology to create functional biohybrid systems with unprecedented long-range order. This approach should greatly aid the development of nanotechnology and biomedicine.","author":[{"dropping-particle":"","family":"Mikkilä","given":"J.","non-dropping-particle":"","parse-names":false,"suffix":""},{"dropping-particle":"","family":"Anaya-Plaza","given":"E.","non-dropping-particle":"","parse-names":false,"suffix":""},{"dropping-particle":"","family":"Liljeström","given":"V.","non-dropping-particle":"","parse-names":false,"suffix":""},{"dropping-particle":"","family":"Caston","given":"J.R.","non-dropping-particle":"","parse-names":false,"suffix":""},{"dropping-particle":"","family":"Torres","given":"T.","non-dropping-particle":"","parse-names":false,"suffix":""},{"dropping-particle":"","family":"La Escosura","given":"A.","non-dropping-particle":"De","parse-names":false,"suffix":""},{"dropping-particle":"","family":"Kostiainen","given":"M.A.","non-dropping-particle":"","parse-names":false,"suffix":""}],"container-title":"ACS Nano","id":"ITEM-1","issue":"1","issued":{"date-parts":[["2016"]]},"page":"1565-1571","title":"Hierarchical organization of organic dyes and protein cages into photoactive crystals","type":"article-journal","volume":"10"},"uris":["http://www.mendeley.com/documents/?uuid=96b2c831-099b-3753-a49d-935adf10482b"]}],"mendeley":{"formattedCitation":"(Mikkilä et al. 2016)","plainTextFormattedCitation":"(Mikkilä et al. 2016)","previouslyFormattedCitation":"&lt;sup&gt;[2]&lt;/sup&gt;"},"properties":{"noteIndex":0},"schema":"https://github.com/citation-style-language/schema/raw/master/csl-citation.json"}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(Mikkilä et al. 2016)</w:t>
      </w:r>
      <w:r w:rsidRPr="00FE00A9">
        <w:rPr>
          <w:rFonts w:asciiTheme="minorHAnsi" w:hAnsiTheme="minorHAnsi" w:cstheme="minorHAnsi"/>
          <w:sz w:val="22"/>
        </w:rPr>
        <w:fldChar w:fldCharType="end"/>
      </w:r>
      <w:r w:rsidRPr="00FE00A9">
        <w:rPr>
          <w:rFonts w:asciiTheme="minorHAnsi" w:hAnsiTheme="minorHAnsi" w:cstheme="minorHAnsi"/>
          <w:sz w:val="22"/>
        </w:rPr>
        <w:t>, supramolecular hosts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{"citationItems":[{"id":"ITEM-1","itemData":{"DOI":"10.1021/acsnano.8b02856","abstract":"Cyclophanes are macrocyclic supramolecular hosts famous for their ability to bind atomic or molecular guests via noncovalent interactions within their well-defined cavities. In a similar way, porous crystalline networks, such as metal–organic frameworks, can create microenvironments that enable controlled guest binding in the solid state. Both types of materials often consist of synthetic components, and they have been developed within separate research fields. Moreover, the use of biomolecules as their structural units has remained elusive. Here, we have synthesized a library of organic cyclophanes and studied their electrostatic self-assembly with biological metal-binding protein cages (ferritins) into ordered structures. We show that cationic pillar[5]arenes and ferritin cages form biohybrid cocrystals with an open protein network structure. Our cyclophane–protein cage frameworks bridge the gap between molecular frameworks and colloidal nanoparticle crystals and combine the versatility of synthetic sup...","author":[{"dropping-particle":"","family":"Beyeh","given":"Ngong Kodiah","non-dropping-particle":"","parse-names":false,"suffix":""},{"dropping-particle":"","family":"Nonappa","given":"","non-dropping-particle":"","parse-names":false,"suffix":""},{"dropping-particle":"","family":"Liljeström","given":"Ville","non-dropping-particle":"","parse-names":false,"suffix":""},{"dropping-particle":"","family":"Mikkilä","given":"Joona","non-dropping-particle":"","parse-names":false,"suffix":""},{"dropping-particle":"","family":"Korpi","given":"Antti","non-dropping-particle":"","parse-names":false,"suffix":""},{"dropping-particle":"","family":"Bochicchio","given":"Davide","non-dropping-particle":"","parse-names":false,"suffix":""},{"dropping-particle":"","family":"Pavan","given":"Giovanni M.","non-dropping-particle":"","parse-names":false,"suffix":""},{"dropping-particle":"","family":"Ikkala","given":"Olli","non-dropping-particle":"","parse-names":false,"suffix":""},{"dropping-particle":"","family":"Ras","given":"Robin H. A.","non-dropping-particle":"","parse-names":false,"suffix":""},{"dropping-particle":"","family":"Kostiainen","given":"Mauri A.","non-dropping-particle":"","parse-names":false,"suffix":""}],"container-title":"ACS Nano","id":"ITEM-1","issue":"8","issued":{"date-parts":[["2018","8","28"]]},"page":"8029-8036","publisher":"American Chemical Society","title":"Crystalline Cyclophane–Protein Cage Frameworks","type":"article-journal","volume":"12"},"uris":["http://www.mendeley.com/documents/?uuid=c1f85747-148b-3faf-85aa-686da1e3aeb8"]}],"mendeley":{"formattedCitation":"(Beyeh et al. 2018)","plainTextFormattedCitation":"(Beyeh et al. 2018)","previouslyFormattedCitation":"&lt;sup&gt;[3]&lt;/sup&gt;"},"properties":{"noteIndex":0},"schema":"https://github.com/citation-style-language/schema/raw/master/csl-citation.json"}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(Beyeh et al. 2018)</w:t>
      </w:r>
      <w:r w:rsidRPr="00FE00A9">
        <w:rPr>
          <w:rFonts w:asciiTheme="minorHAnsi" w:hAnsiTheme="minorHAnsi" w:cstheme="minorHAnsi"/>
          <w:sz w:val="22"/>
        </w:rPr>
        <w:fldChar w:fldCharType="end"/>
      </w:r>
      <w:r w:rsidRPr="00FE00A9">
        <w:rPr>
          <w:rFonts w:asciiTheme="minorHAnsi" w:hAnsiTheme="minorHAnsi" w:cstheme="minorHAnsi"/>
          <w:sz w:val="22"/>
        </w:rPr>
        <w:t>, enzymes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BC31BB">
        <w:rPr>
          <w:rFonts w:asciiTheme="minorHAnsi" w:hAnsiTheme="minorHAnsi" w:cstheme="minorHAnsi"/>
          <w:sz w:val="22"/>
        </w:rPr>
        <w:instrText>ADDIN CSL_CITATION {"citationItems":[{"id":"ITEM-1","itemData":{"DOI":"10.1038/ncomms5445","ISBN":"doi:10.1038/ncomms5445","ISSN":"2041-1723","PMID":"25033911","abstract":"Multicomponent crystals and nanoparticle superlattices are a powerful approach to integrate different materials into ordered nanostructures. Well-developed, especially DNA-based, methods for their preparation exist, yet most techniques concentrate on molecular and synthetic nanoparticle systems in non-biocompatible environment. Here we describe the self-assembly and characterization of binary solids that consist of crystalline arrays of native biomacromolecules. We electrostatically assembled cowpea chlorotic mottle virus particles and avidin proteins into heterogeneous crystals, where the virus particles adopt a non-close-packed body-centred cubic arrangement held together by avidin. Importantly, the whole preparation process takes place at room temperature in a mild aqueous medium allowing the processing of delicate biological building blocks into ordered structures with lattice constants in the nanometre range. Furthermore, the use of avidin-biotin interaction allows highly selective pre- or post-functionalization of the protein crystals in a modular way with different types of functional units, such as fluorescent dyes, enzymes and plasmonic nanoparticles.","author":[{"dropping-particle":"","family":"Liljeström","given":"Ville","non-dropping-particle":"","parse-names":false,"suffix":""},{"dropping-particle":"","family":"Mikkilä","given":"Joona","non-dropping-particle":"","parse-names":false,"suffix":""},{"dropping-particle":"","family":"Kostiainen","given":"Mauri A","non-dropping-particle":"","parse-names":false,"suffix":""}],"container-title":"Nat. Commun.","id":"ITEM-1","issued":{"date-parts":[["2014","1","18"]]},"language":"en","page":"4445","publisher":"Nature Publishing Group","title":"Self-assembly and modular functionalization of three-dimensional crystals from oppositely charged proteins.","type":"article-journal","volume":"5"},"uris":["http://www.mendeley.com/documents/?uuid=39ee2cd6-51f3-4a43-aab9-7b31e8cd2fff"]}],"mendeley":{"formattedCitation":"(Liljeström, Mikkilä, and Kostiainen 2014)","manualFormatting":"(Liljeström et al. 2014)","plainTextFormattedCitation":"(Liljeström, Mikkilä, and Kostiainen 2014)","previouslyFormattedCitation":"&lt;sup&gt;[4]&lt;/sup&gt;"},"properties":{"noteIndex":0},"schema":"https://github.com/citation-style-language/schema/raw/master/csl-citation.json"}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(Lil</w:t>
      </w:r>
      <w:r w:rsidR="00BC31BB">
        <w:rPr>
          <w:rFonts w:asciiTheme="minorHAnsi" w:hAnsiTheme="minorHAnsi" w:cstheme="minorHAnsi"/>
          <w:noProof/>
          <w:sz w:val="22"/>
        </w:rPr>
        <w:t>jeström et al.</w:t>
      </w:r>
      <w:r w:rsidR="00A11534" w:rsidRPr="00A11534">
        <w:rPr>
          <w:rFonts w:asciiTheme="minorHAnsi" w:hAnsiTheme="minorHAnsi" w:cstheme="minorHAnsi"/>
          <w:noProof/>
          <w:sz w:val="22"/>
        </w:rPr>
        <w:t xml:space="preserve"> 2014)</w:t>
      </w:r>
      <w:r w:rsidRPr="00FE00A9">
        <w:rPr>
          <w:rFonts w:asciiTheme="minorHAnsi" w:hAnsiTheme="minorHAnsi" w:cstheme="minorHAnsi"/>
          <w:sz w:val="22"/>
        </w:rPr>
        <w:fldChar w:fldCharType="end"/>
      </w:r>
      <w:r w:rsidRPr="00FE00A9">
        <w:rPr>
          <w:rFonts w:asciiTheme="minorHAnsi" w:hAnsiTheme="minorHAnsi" w:cstheme="minorHAnsi"/>
          <w:sz w:val="22"/>
        </w:rPr>
        <w:t xml:space="preserve"> and </w:t>
      </w:r>
      <w:proofErr w:type="spellStart"/>
      <w:r w:rsidRPr="00FE00A9">
        <w:rPr>
          <w:rFonts w:asciiTheme="minorHAnsi" w:hAnsiTheme="minorHAnsi" w:cstheme="minorHAnsi"/>
          <w:sz w:val="22"/>
        </w:rPr>
        <w:t>plasmonic</w:t>
      </w:r>
      <w:proofErr w:type="spellEnd"/>
      <w:r w:rsidRPr="00FE00A9">
        <w:rPr>
          <w:rFonts w:asciiTheme="minorHAnsi" w:hAnsiTheme="minorHAnsi" w:cstheme="minorHAnsi"/>
          <w:sz w:val="22"/>
        </w:rPr>
        <w:t xml:space="preserve"> nanoparticles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10.1038/s41467-017-00697-z","author":[{"dropping-particle":"","family":"Liljeström","given":"Ville","non-dropping-particle":"","parse-names":false,"suffix":""},{"dropping-particle":"","family":"Ora","given":"Ari","non-dropping-particle":"","parse-names":false,"suffix":""},{"dropping-particle":"","family":"Hassinen","given":"Jukka","non-dropping-particle":"","parse-names":false,"suffix":""},{"dropping-particle":"","family":"Rekola","given":"Heikki T.","non-dropping-particle":"","parse-names":false,"suffix":""},{"dropping-particle":"","family":"Nonappa","given":"","non-dropping-particle":"","parse-names":false,"suffix":""},{"dropping-particle":"","family":"Heilala","given":"Maria","non-dropping-particle":"","parse-names":false,"suffix":""},{"dropping-particle":"","family":"Hynninen","given":"Ville","non-dropping-particle":"","parse-names":false,"suffix":""},{"dropping-particle":"","family":"Joensuu","given":"Jussi J.","non-dropping-particle":"","parse-names":false,"suffix":""},{"dropping-particle":"","family":"Ras","given":"Robin H. A.","non-dropping-particle":"","parse-names":false,"suffix":""},{"dropping-particle":"","family":"Törmä","given":"Päivi","non-dropping-particle":"","parse-names":false,"suffix":""},{"dropping-particle":"","family":"Ikkala","given":"Olli","non-dropping-particle":"","parse-names":false,"suffix":""},{"dropping-particle":"","family":"Kostiainen","given":"Mauri A.","non-dropping-particle":"","parse-names":false,"suffix":""}],"container-title":"Nature Communications","id":"ITEM-1","issued":{"date-parts":[["2017","12","22"]]},"page":"671","title":"Cooperative colloidal self-assembly of metal-protein superlattice wires","type":"article-journal","volume":"8"},"uris":["http://www.mendeley.com/documents/?uuid=68c6e718-d3f0-392a-afcc-b4a0f7a0a82e"]}],"mendeley":{"formattedCitation":"(Liljeström et al. 2017)","plainTextFormattedCitation":"(Liljeström et al. 2017)","previouslyFormattedCitation":"&lt;sup&gt;[5]&lt;/sup&gt;"},"properties":{"noteIndex":0},"schema":"https://github.com/citation-style-language/schema/raw/master/csl-citation.json"}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(Liljeström et al. 2017)</w:t>
      </w:r>
      <w:r w:rsidRPr="00FE00A9">
        <w:rPr>
          <w:rFonts w:asciiTheme="minorHAnsi" w:hAnsiTheme="minorHAnsi" w:cstheme="minorHAnsi"/>
          <w:sz w:val="22"/>
        </w:rPr>
        <w:fldChar w:fldCharType="end"/>
      </w:r>
      <w:r w:rsidRPr="00FE00A9">
        <w:rPr>
          <w:rFonts w:asciiTheme="minorHAnsi" w:hAnsiTheme="minorHAnsi" w:cstheme="minorHAnsi"/>
          <w:sz w:val="22"/>
        </w:rPr>
        <w:t xml:space="preserve">. Our systematic approach identifies the key parameters for the assembly process (ionic strength, electrolyte valence, </w:t>
      </w:r>
      <w:proofErr w:type="gramStart"/>
      <w:r w:rsidRPr="00FE00A9">
        <w:rPr>
          <w:rFonts w:asciiTheme="minorHAnsi" w:hAnsiTheme="minorHAnsi" w:cstheme="minorHAnsi"/>
          <w:sz w:val="22"/>
        </w:rPr>
        <w:t>pH</w:t>
      </w:r>
      <w:proofErr w:type="gramEnd"/>
      <w:r w:rsidRPr="00FE00A9">
        <w:rPr>
          <w:rFonts w:asciiTheme="minorHAnsi" w:hAnsiTheme="minorHAnsi" w:cstheme="minorHAnsi"/>
          <w:sz w:val="22"/>
        </w:rPr>
        <w:t xml:space="preserve">) and highlights the effect of the size and aspect ratio of the virus particles, which ultimately control the crystal structure and lattice constant. Protein-based mesoporous materials, nanoscale </w:t>
      </w:r>
      <w:proofErr w:type="spellStart"/>
      <w:r w:rsidRPr="00FE00A9">
        <w:rPr>
          <w:rFonts w:asciiTheme="minorHAnsi" w:hAnsiTheme="minorHAnsi" w:cstheme="minorHAnsi"/>
          <w:sz w:val="22"/>
        </w:rPr>
        <w:t>multicompartments</w:t>
      </w:r>
      <w:proofErr w:type="spellEnd"/>
      <w:r w:rsidRPr="00FE00A9">
        <w:rPr>
          <w:rFonts w:asciiTheme="minorHAnsi" w:hAnsiTheme="minorHAnsi" w:cstheme="minorHAnsi"/>
          <w:sz w:val="22"/>
        </w:rPr>
        <w:t xml:space="preserve"> and metamaterials are all applications that require s</w:t>
      </w:r>
      <w:bookmarkStart w:id="0" w:name="_GoBack"/>
      <w:bookmarkEnd w:id="0"/>
      <w:r w:rsidRPr="00FE00A9">
        <w:rPr>
          <w:rFonts w:asciiTheme="minorHAnsi" w:hAnsiTheme="minorHAnsi" w:cstheme="minorHAnsi"/>
          <w:sz w:val="22"/>
        </w:rPr>
        <w:t>uch high degree of structural control.</w:t>
      </w:r>
    </w:p>
    <w:p w14:paraId="4BB2EC45" w14:textId="529809F2" w:rsidR="00A437DC" w:rsidRPr="00FE00A9" w:rsidRDefault="00A437DC" w:rsidP="00A437DC">
      <w:pPr>
        <w:jc w:val="both"/>
        <w:rPr>
          <w:rFonts w:asciiTheme="minorHAnsi" w:hAnsiTheme="minorHAnsi" w:cstheme="minorHAnsi"/>
          <w:sz w:val="22"/>
        </w:rPr>
      </w:pPr>
      <w:r w:rsidRPr="00FE00A9">
        <w:rPr>
          <w:rFonts w:asciiTheme="minorHAnsi" w:hAnsiTheme="minorHAnsi" w:cstheme="minorHAnsi"/>
          <w:sz w:val="22"/>
        </w:rPr>
        <w:t xml:space="preserve">We have also shown that native virus particles </w:t>
      </w:r>
      <w:proofErr w:type="gramStart"/>
      <w:r w:rsidRPr="00FE00A9">
        <w:rPr>
          <w:rFonts w:asciiTheme="minorHAnsi" w:hAnsiTheme="minorHAnsi" w:cstheme="minorHAnsi"/>
          <w:sz w:val="22"/>
        </w:rPr>
        <w:t>can be disassembled</w:t>
      </w:r>
      <w:proofErr w:type="gramEnd"/>
      <w:r w:rsidRPr="00FE00A9">
        <w:rPr>
          <w:rFonts w:asciiTheme="minorHAnsi" w:hAnsiTheme="minorHAnsi" w:cstheme="minorHAnsi"/>
          <w:sz w:val="22"/>
        </w:rPr>
        <w:t xml:space="preserve"> and the isolated virus capsid proteins can be reassembled on the surface of DNA origami nanostructures.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{"citationItems":[{"id":"ITEM-1","itemData":{"DOI":"10.1021/nl500677j","ISSN":"1530-6992","PMID":"24627955","abstract":"DNA origami structures can be programmed into arbitrary shapes with nanometer scale precision, which opens up numerous attractive opportunities to engineer novel functional materials. One intriguing possibility is to use DNA origamis for fully tunable, targeted, and triggered drug delivery. In this work, we demonstrate the coating of DNA origami nanostructures with virus capsid proteins for enhancing cellular delivery. Our approach utilizes purified cowpea chlorotic mottle virus capsid proteins that can bind and self-assemble on the origami surface through electrostatic interactions and further pack the origami nanostructures inside the viral capsid. Confocal microscopy imaging and transfection studies with a human HEK293 cell line indicate that protein coating improves cellular attachment and delivery of origamis into the cells by 13-fold compared to bare DNA origamis. The presented method could readily find applications not only in sophisticated drug delivery applications but also in organizing intracellular reactions by origami-based templates.","author":[{"dropping-particle":"","family":"Mikkilä","given":"Joona","non-dropping-particle":"","parse-names":false,"suffix":""},{"dropping-particle":"","family":"Eskelinen","given":"Antti-Pekka","non-dropping-particle":"","parse-names":false,"suffix":""},{"dropping-particle":"","family":"Niemelä","given":"Elina H","non-dropping-particle":"","parse-names":false,"suffix":""},{"dropping-particle":"","family":"Linko","given":"Veikko","non-dropping-particle":"","parse-names":false,"suffix":""},{"dropping-particle":"","family":"Frilander","given":"Mikko J","non-dropping-particle":"","parse-names":false,"suffix":""},{"dropping-particle":"","family":"Törmä","given":"Päivi","non-dropping-particle":"","parse-names":false,"suffix":""},{"dropping-particle":"","family":"Kostiainen","given":"Mauri A","non-dropping-particle":"","parse-names":false,"suffix":""}],"container-title":"Nano Lett.","id":"ITEM-1","issue":"4","issued":{"date-parts":[["2014","4","9"]]},"page":"2196-2200","publisher":"American Chemical Society","title":"Virus-encapsulated DNA origami nanostructures for cellular delivery","type":"article-journal","volume":"14"},"uris":["http://www.mendeley.com/documents/?uuid=ec378ce7-d662-4824-9726-c114d6687e66"]}],"mendeley":{"formattedCitation":"(Mikkilä et al. 2014)","plainTextFormattedCitation":"(Mikkilä et al. 2014)","previouslyFormattedCitation":"&lt;sup&gt;[6]&lt;/sup&gt;"},"properties":{"noteIndex":0},"schema":"https://github.com/citation-style-language/schema/raw/master/csl-citation.json"}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(Mikkilä et al. 2014)</w:t>
      </w:r>
      <w:r w:rsidRPr="00FE00A9">
        <w:rPr>
          <w:rFonts w:asciiTheme="minorHAnsi" w:hAnsiTheme="minorHAnsi" w:cstheme="minorHAnsi"/>
          <w:sz w:val="22"/>
        </w:rPr>
        <w:fldChar w:fldCharType="end"/>
      </w:r>
      <w:r w:rsidRPr="00FE00A9">
        <w:rPr>
          <w:rFonts w:asciiTheme="minorHAnsi" w:hAnsiTheme="minorHAnsi" w:cstheme="minorHAnsi"/>
          <w:sz w:val="22"/>
        </w:rPr>
        <w:t xml:space="preserve"> Using a “</w:t>
      </w:r>
      <w:proofErr w:type="spellStart"/>
      <w:r w:rsidRPr="00FE00A9">
        <w:rPr>
          <w:rFonts w:asciiTheme="minorHAnsi" w:hAnsiTheme="minorHAnsi" w:cstheme="minorHAnsi"/>
          <w:sz w:val="22"/>
        </w:rPr>
        <w:t>scaffolded</w:t>
      </w:r>
      <w:proofErr w:type="spellEnd"/>
      <w:r w:rsidRPr="00FE00A9">
        <w:rPr>
          <w:rFonts w:asciiTheme="minorHAnsi" w:hAnsiTheme="minorHAnsi" w:cstheme="minorHAnsi"/>
          <w:sz w:val="22"/>
        </w:rPr>
        <w:t xml:space="preserve"> artificial genome” (origami) with particular size and 3D shape, offers an interesting way to direct the capsid into </w:t>
      </w:r>
      <w:proofErr w:type="spellStart"/>
      <w:r w:rsidRPr="00FE00A9">
        <w:rPr>
          <w:rFonts w:asciiTheme="minorHAnsi" w:hAnsiTheme="minorHAnsi" w:cstheme="minorHAnsi"/>
          <w:sz w:val="22"/>
        </w:rPr>
        <w:t>nanoshapes</w:t>
      </w:r>
      <w:proofErr w:type="spellEnd"/>
      <w:r w:rsidRPr="00FE00A9">
        <w:rPr>
          <w:rFonts w:asciiTheme="minorHAnsi" w:hAnsiTheme="minorHAnsi" w:cstheme="minorHAnsi"/>
          <w:sz w:val="22"/>
        </w:rPr>
        <w:t xml:space="preserve"> that differ from the strictly defined </w:t>
      </w:r>
      <w:r w:rsidRPr="00FE00A9">
        <w:rPr>
          <w:rFonts w:asciiTheme="minorHAnsi" w:hAnsiTheme="minorHAnsi" w:cstheme="minorHAnsi"/>
          <w:i/>
          <w:sz w:val="22"/>
        </w:rPr>
        <w:t>T</w:t>
      </w:r>
      <w:r w:rsidRPr="00FE00A9">
        <w:rPr>
          <w:rFonts w:asciiTheme="minorHAnsi" w:hAnsiTheme="minorHAnsi" w:cstheme="minorHAnsi"/>
          <w:sz w:val="22"/>
        </w:rPr>
        <w:t> = </w:t>
      </w:r>
      <w:r w:rsidRPr="00FE00A9">
        <w:rPr>
          <w:rFonts w:asciiTheme="minorHAnsi" w:hAnsiTheme="minorHAnsi" w:cstheme="minorHAnsi"/>
          <w:i/>
          <w:sz w:val="22"/>
        </w:rPr>
        <w:t>n</w:t>
      </w:r>
      <w:r w:rsidRPr="00FE00A9">
        <w:rPr>
          <w:rFonts w:asciiTheme="minorHAnsi" w:hAnsiTheme="minorHAnsi" w:cstheme="minorHAnsi"/>
          <w:sz w:val="22"/>
        </w:rPr>
        <w:t xml:space="preserve"> structures, commonly observed with native viruses. Protein encapsulation could also enhance stability and </w:t>
      </w:r>
      <w:proofErr w:type="spellStart"/>
      <w:r w:rsidRPr="00FE00A9">
        <w:rPr>
          <w:rFonts w:asciiTheme="minorHAnsi" w:hAnsiTheme="minorHAnsi" w:cstheme="minorHAnsi"/>
          <w:sz w:val="22"/>
        </w:rPr>
        <w:t>immunocompatibility</w:t>
      </w:r>
      <w:proofErr w:type="spellEnd"/>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10.1002/adhm.201700692","author":[{"dropping-particle":"","family":"Auvinen","given":"Henni","non-dropping-particle":"","parse-names":false,"suffix":""},{"dropping-particle":"","family":"Zhang","given":"Hongbo","non-dropping-particle":"","parse-names":false,"suffix":""},{"dropping-particle":"","family":"Nonappa","given":"Alisa","non-dropping-particle":"","parse-names":false,"suffix":""},{"dropping-particle":"","family":"Kopilow","given":"Alisa","non-dropping-particle":"","parse-names":false,"suffix":""},{"dropping-particle":"","family":"Niemelä","given":"Elina H.","non-dropping-particle":"","parse-names":false,"suffix":""},{"dropping-particle":"","family":"Nummelin","given":"Sami","non-dropping-particle":"","parse-names":false,"suffix":""},{"dropping-particle":"","family":"Correia","given":"Alexandra","non-dropping-particle":"","parse-names":false,"suffix":""},{"dropping-particle":"","family":"Santos","given":"Hélder A.","non-dropping-particle":"","parse-names":false,"suffix":""},{"dropping-particle":"","family":"Linko","given":"Veikko","non-dropping-particle":"","parse-names":false,"suffix":""},{"dropping-particle":"","family":"Kostiainen","given":"Mauri A.","non-dropping-particle":"","parse-names":false,"suffix":""}],"container-title":"Advanced Healthcare Materials","id":"ITEM-1","issue":"18","issued":{"date-parts":[["2017","9","1"]]},"page":"1700692","title":"Protein Coating of DNA Nanostructures for Enhanced Stability and Immunocompatibility","type":"article-journal","volume":"6"},"uris":["http://www.mendeley.com/documents/?uuid=69387bca-42cd-3f78-a76f-273350cb2a7a"]}],"mendeley":{"formattedCitation":"(Auvinen et al. 2017)","plainTextFormattedCitation":"(Auvinen et al. 2017)","previouslyFormattedCitation":"&lt;sup&gt;[7]&lt;/sup&gt;"},"properties":{"noteIndex":0},"schema":"https://github.com/citation-style-language/schema/raw/master/csl-citation.json"}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(Auvinen et al. 2017)</w:t>
      </w:r>
      <w:r w:rsidRPr="00FE00A9">
        <w:rPr>
          <w:rFonts w:asciiTheme="minorHAnsi" w:hAnsiTheme="minorHAnsi" w:cstheme="minorHAnsi"/>
          <w:sz w:val="22"/>
        </w:rPr>
        <w:fldChar w:fldCharType="end"/>
      </w:r>
      <w:r w:rsidRPr="00FE00A9">
        <w:rPr>
          <w:rFonts w:asciiTheme="minorHAnsi" w:hAnsiTheme="minorHAnsi" w:cstheme="minorHAnsi"/>
          <w:sz w:val="22"/>
        </w:rPr>
        <w:t xml:space="preserve"> of functional DNA origami devices</w:t>
      </w:r>
      <w:r w:rsidR="00BC31BB">
        <w:rPr>
          <w:rFonts w:asciiTheme="minorHAnsi" w:hAnsiTheme="minorHAnsi" w:cstheme="minorHAnsi"/>
          <w:sz w:val="22"/>
        </w:rPr>
        <w:t xml:space="preserve"> </w:t>
      </w:r>
      <w:r w:rsidRPr="00FE00A9">
        <w:rPr>
          <w:rFonts w:asciiTheme="minorHAnsi" w:hAnsiTheme="minorHAnsi" w:cstheme="minorHAnsi"/>
          <w:sz w:val="22"/>
        </w:rPr>
        <w:fldChar w:fldCharType="begin" w:fldLock="1"/>
      </w:r>
      <w:r w:rsidR="00A11534">
        <w:rPr>
          <w:rFonts w:asciiTheme="minorHAnsi" w:hAnsiTheme="minorHAnsi" w:cstheme="minorHAnsi"/>
          <w:sz w:val="22"/>
        </w:rPr>
        <w:instrText>ADDIN CSL_CITATION {"citationItems":[{"id":"ITEM-1","itemData":{"DOI":"10.1021/acsnano.9b01857","ISSN":"1936-0851","abstract":"DNA nanotechnology provides a toolbox for creating custom and precise nanostructures with nanometer-level accuracy. These nano-objects are often static by nature and serve as versatile templates for assembling various molecular components in a user-defined way. In addition to the static structures, the intrinsic programmability of DNA nanostructures allows the design of dynamic devices that can perform predefined tasks when triggered with external stimuli, such as drug delivery vehicles whose cargo display or release can be triggered with a specified physical or chemical cue in the biological environment. Here, we present a DNA origami nanocapsule that can be loaded with cargo and reversibly opened and closed by changing the pH of the surrounding solution. Moreover, the threshold pH value for opening/closing can be rationally designed. We characterize the reversible switching and a rapid opening of “pH-latch”-equipped nanocapsules using Förster resonance energy transfer. Furthermore, we demonstrate the fu...","author":[{"dropping-particle":"","family":"Ijäs","given":"Heini","non-dropping-particle":"","parse-names":false,"suffix":""},{"dropping-particle":"","family":"Hakaste","given":"Iiris","non-dropping-particle":"","parse-names":false,"suffix":""},{"dropping-particle":"","family":"Shen","given":"Boxuan","non-dropping-particle":"","parse-names":false,"suffix":""},{"dropping-particle":"","family":"Kostiainen","given":"Mauri A.","non-dropping-particle":"","parse-names":false,"suffix":""},{"dropping-particle":"","family":"Linko","given":"Veikko","non-dropping-particle":"","parse-names":false,"suffix":""}],"container-title":"ACS Nano","id":"ITEM-1","issued":{"date-parts":[["2019","4","19"]]},"page":"5959-5967","publisher":"American Chemical Society","title":"Reconfigurable DNA Origami Nanocapsule for pH-Controlled Encapsulation and Display of Cargo","type":"article-journal","volume":"13"},"uris":["http://www.mendeley.com/documents/?uuid=7b280005-0df6-33b0-9389-53776d2cdb83"]}],"mendeley":{"formattedCitation":"(Ijäs et al. 2019)","plainTextFormattedCitation":"(Ijäs et al. 2019)","previouslyFormattedCitation":"&lt;sup&gt;[8]&lt;/sup&gt;"},"properties":{"noteIndex":0},"schema":"https://github.com/citation-style-language/schema/raw/master/csl-citation.json"}</w:instrText>
      </w:r>
      <w:r w:rsidRPr="00FE00A9">
        <w:rPr>
          <w:rFonts w:asciiTheme="minorHAnsi" w:hAnsiTheme="minorHAnsi" w:cstheme="minorHAnsi"/>
          <w:sz w:val="22"/>
        </w:rPr>
        <w:fldChar w:fldCharType="separate"/>
      </w:r>
      <w:r w:rsidR="00A11534" w:rsidRPr="00A11534">
        <w:rPr>
          <w:rFonts w:asciiTheme="minorHAnsi" w:hAnsiTheme="minorHAnsi" w:cstheme="minorHAnsi"/>
          <w:noProof/>
          <w:sz w:val="22"/>
        </w:rPr>
        <w:t>(Ijäs et al. 2019)</w:t>
      </w:r>
      <w:r w:rsidRPr="00FE00A9">
        <w:rPr>
          <w:rFonts w:asciiTheme="minorHAnsi" w:hAnsiTheme="minorHAnsi" w:cstheme="minorHAnsi"/>
          <w:sz w:val="22"/>
        </w:rPr>
        <w:fldChar w:fldCharType="end"/>
      </w:r>
      <w:r w:rsidRPr="00FE00A9">
        <w:rPr>
          <w:rFonts w:asciiTheme="minorHAnsi" w:hAnsiTheme="minorHAnsi" w:cstheme="minorHAnsi"/>
          <w:sz w:val="22"/>
        </w:rPr>
        <w:t xml:space="preserve">. </w:t>
      </w:r>
    </w:p>
    <w:p w14:paraId="2CF534D5" w14:textId="0F897BF1" w:rsidR="00FE00A9" w:rsidRDefault="00BC5F5C" w:rsidP="006F677B">
      <w:pPr>
        <w:jc w:val="center"/>
        <w:rPr>
          <w:rFonts w:asciiTheme="minorHAnsi" w:hAnsiTheme="minorHAnsi" w:cstheme="minorHAnsi"/>
          <w:sz w:val="22"/>
          <w:szCs w:val="22"/>
        </w:rPr>
      </w:pPr>
      <w:r w:rsidRPr="00BC5F5C">
        <w:rPr>
          <w:rFonts w:asciiTheme="minorHAnsi" w:hAnsiTheme="minorHAnsi" w:cstheme="minorHAnsi"/>
          <w:noProof/>
          <w:sz w:val="22"/>
          <w:szCs w:val="22"/>
          <w:lang w:val="fi-FI" w:eastAsia="fi-FI"/>
        </w:rPr>
        <w:drawing>
          <wp:inline distT="0" distB="0" distL="0" distR="0" wp14:anchorId="2864935C" wp14:editId="50B1B294">
            <wp:extent cx="4644000" cy="1740316"/>
            <wp:effectExtent l="0" t="0" r="444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6"/>
                    <a:srcRect t="8172" b="4074"/>
                    <a:stretch/>
                  </pic:blipFill>
                  <pic:spPr bwMode="auto">
                    <a:xfrm>
                      <a:off x="0" y="0"/>
                      <a:ext cx="4644000" cy="1740316"/>
                    </a:xfrm>
                    <a:prstGeom prst="rect">
                      <a:avLst/>
                    </a:prstGeom>
                    <a:ln>
                      <a:noFill/>
                    </a:ln>
                    <a:extLst>
                      <a:ext uri="{53640926-AAD7-44D8-BBD7-CCE9431645EC}">
                        <a14:shadowObscured xmlns:a14="http://schemas.microsoft.com/office/drawing/2010/main"/>
                      </a:ext>
                    </a:extLst>
                  </pic:spPr>
                </pic:pic>
              </a:graphicData>
            </a:graphic>
          </wp:inline>
        </w:drawing>
      </w:r>
    </w:p>
    <w:p w14:paraId="039C37E1" w14:textId="77777777" w:rsidR="00B01C88" w:rsidRPr="00BC5F5C" w:rsidRDefault="00B01C88" w:rsidP="00B01C88">
      <w:pPr>
        <w:jc w:val="both"/>
        <w:rPr>
          <w:rFonts w:ascii="Calibri" w:hAnsi="Calibri" w:cs="Calibri"/>
          <w:b/>
          <w:lang w:val="fi-FI"/>
        </w:rPr>
      </w:pPr>
      <w:proofErr w:type="spellStart"/>
      <w:r w:rsidRPr="00BC5F5C">
        <w:rPr>
          <w:rFonts w:ascii="Calibri" w:hAnsi="Calibri" w:cs="Calibri"/>
          <w:b/>
          <w:lang w:val="fi-FI"/>
        </w:rPr>
        <w:t>References</w:t>
      </w:r>
      <w:proofErr w:type="spellEnd"/>
    </w:p>
    <w:p w14:paraId="39185A68" w14:textId="271EAA46" w:rsidR="00A11534" w:rsidRPr="00A11534" w:rsidRDefault="00A11534" w:rsidP="00A11534">
      <w:pPr>
        <w:widowControl w:val="0"/>
        <w:autoSpaceDE w:val="0"/>
        <w:autoSpaceDN w:val="0"/>
        <w:adjustRightInd w:val="0"/>
        <w:ind w:left="284" w:hanging="284"/>
        <w:rPr>
          <w:rFonts w:ascii="Calibri" w:hAnsi="Calibri" w:cs="Calibri"/>
          <w:noProof/>
          <w:sz w:val="22"/>
        </w:rPr>
      </w:pPr>
      <w:r w:rsidRPr="00A11534">
        <w:rPr>
          <w:rFonts w:ascii="Calibri" w:hAnsi="Calibri" w:cs="Calibri"/>
          <w:sz w:val="22"/>
          <w:szCs w:val="22"/>
        </w:rPr>
        <w:t>1.</w:t>
      </w:r>
      <w:r>
        <w:rPr>
          <w:rFonts w:ascii="Calibri" w:hAnsi="Calibri" w:cs="Calibri"/>
          <w:sz w:val="22"/>
          <w:szCs w:val="22"/>
        </w:rPr>
        <w:t xml:space="preserve"> </w:t>
      </w:r>
      <w:r>
        <w:rPr>
          <w:rFonts w:ascii="Calibri" w:hAnsi="Calibri" w:cs="Calibri"/>
          <w:sz w:val="22"/>
          <w:szCs w:val="22"/>
        </w:rPr>
        <w:tab/>
      </w:r>
      <w:r w:rsidR="00FE00A9" w:rsidRPr="00A11534">
        <w:rPr>
          <w:rFonts w:ascii="Calibri" w:hAnsi="Calibri" w:cs="Calibri"/>
          <w:sz w:val="22"/>
          <w:szCs w:val="22"/>
        </w:rPr>
        <w:fldChar w:fldCharType="begin" w:fldLock="1"/>
      </w:r>
      <w:r w:rsidR="00FE00A9" w:rsidRPr="00A11534">
        <w:rPr>
          <w:rFonts w:ascii="Calibri" w:hAnsi="Calibri" w:cs="Calibri"/>
          <w:sz w:val="22"/>
          <w:szCs w:val="22"/>
          <w:lang w:val="fi-FI"/>
        </w:rPr>
        <w:instrText xml:space="preserve">ADDIN Mendeley Bibliography CSL_BIBLIOGRAPHY </w:instrText>
      </w:r>
      <w:r w:rsidR="00FE00A9" w:rsidRPr="00A11534">
        <w:rPr>
          <w:rFonts w:ascii="Calibri" w:hAnsi="Calibri" w:cs="Calibri"/>
          <w:sz w:val="22"/>
          <w:szCs w:val="22"/>
        </w:rPr>
        <w:fldChar w:fldCharType="separate"/>
      </w:r>
      <w:r>
        <w:rPr>
          <w:rFonts w:ascii="Calibri" w:hAnsi="Calibri" w:cs="Calibri"/>
          <w:noProof/>
          <w:sz w:val="22"/>
        </w:rPr>
        <w:t>Auvinen</w:t>
      </w:r>
      <w:r w:rsidRPr="00A11534">
        <w:rPr>
          <w:rFonts w:ascii="Calibri" w:hAnsi="Calibri" w:cs="Calibri"/>
          <w:noProof/>
          <w:sz w:val="22"/>
        </w:rPr>
        <w:t xml:space="preserve"> Henni, Hongbo Zhang, Alisa Nonappa, Alisa Kopilow, Elina H. Niemelä, Sami Nummelin, Alexandra Correia, Hélder A. Santos, Veikko Linko, Mauri A. Kostiainen. (2017) </w:t>
      </w:r>
      <w:r w:rsidRPr="00A11534">
        <w:rPr>
          <w:rFonts w:ascii="Calibri" w:hAnsi="Calibri" w:cs="Calibri"/>
          <w:i/>
          <w:iCs/>
          <w:noProof/>
          <w:sz w:val="22"/>
        </w:rPr>
        <w:t>Advanced Healthcare Materials</w:t>
      </w:r>
      <w:r w:rsidRPr="00A11534">
        <w:rPr>
          <w:rFonts w:ascii="Calibri" w:hAnsi="Calibri" w:cs="Calibri"/>
          <w:noProof/>
          <w:sz w:val="22"/>
        </w:rPr>
        <w:t xml:space="preserve"> 6(18):1700692.</w:t>
      </w:r>
    </w:p>
    <w:p w14:paraId="765108E4" w14:textId="16E0E278" w:rsidR="00A11534" w:rsidRPr="00A11534" w:rsidRDefault="00A11534" w:rsidP="00A11534">
      <w:pPr>
        <w:widowControl w:val="0"/>
        <w:autoSpaceDE w:val="0"/>
        <w:autoSpaceDN w:val="0"/>
        <w:adjustRightInd w:val="0"/>
        <w:ind w:left="284" w:hanging="284"/>
        <w:rPr>
          <w:rFonts w:ascii="Calibri" w:hAnsi="Calibri" w:cs="Calibri"/>
          <w:noProof/>
          <w:sz w:val="22"/>
        </w:rPr>
      </w:pPr>
      <w:r>
        <w:rPr>
          <w:rFonts w:ascii="Calibri" w:hAnsi="Calibri" w:cs="Calibri"/>
          <w:noProof/>
          <w:sz w:val="22"/>
        </w:rPr>
        <w:t xml:space="preserve">2. </w:t>
      </w:r>
      <w:r>
        <w:rPr>
          <w:rFonts w:ascii="Calibri" w:hAnsi="Calibri" w:cs="Calibri"/>
          <w:noProof/>
          <w:sz w:val="22"/>
        </w:rPr>
        <w:tab/>
        <w:t>Beyeh</w:t>
      </w:r>
      <w:r w:rsidRPr="00A11534">
        <w:rPr>
          <w:rFonts w:ascii="Calibri" w:hAnsi="Calibri" w:cs="Calibri"/>
          <w:noProof/>
          <w:sz w:val="22"/>
        </w:rPr>
        <w:t xml:space="preserve"> Ngong Kodiah, Nonappa, Ville Liljeström, Joona Mikkilä, Antti Korpi, Davide Bochicchio, Giovanni M. Pavan, Olli Ikkala, Robin H. A. Ras, Mauri A. Kostiainen. </w:t>
      </w:r>
      <w:r>
        <w:rPr>
          <w:rFonts w:ascii="Calibri" w:hAnsi="Calibri" w:cs="Calibri"/>
          <w:noProof/>
          <w:sz w:val="22"/>
        </w:rPr>
        <w:t>(2018)</w:t>
      </w:r>
      <w:r w:rsidRPr="00A11534">
        <w:rPr>
          <w:rFonts w:ascii="Calibri" w:hAnsi="Calibri" w:cs="Calibri"/>
          <w:noProof/>
          <w:sz w:val="22"/>
        </w:rPr>
        <w:t xml:space="preserve"> </w:t>
      </w:r>
      <w:r w:rsidRPr="00A11534">
        <w:rPr>
          <w:rFonts w:ascii="Calibri" w:hAnsi="Calibri" w:cs="Calibri"/>
          <w:i/>
          <w:iCs/>
          <w:noProof/>
          <w:sz w:val="22"/>
        </w:rPr>
        <w:t>ACS Nano</w:t>
      </w:r>
      <w:r w:rsidRPr="00A11534">
        <w:rPr>
          <w:rFonts w:ascii="Calibri" w:hAnsi="Calibri" w:cs="Calibri"/>
          <w:noProof/>
          <w:sz w:val="22"/>
        </w:rPr>
        <w:t xml:space="preserve"> 12(8):8029–36.</w:t>
      </w:r>
    </w:p>
    <w:p w14:paraId="1DCF0D1D" w14:textId="686F93C4" w:rsidR="00A11534" w:rsidRPr="00A11534" w:rsidRDefault="00A11534" w:rsidP="00A11534">
      <w:pPr>
        <w:widowControl w:val="0"/>
        <w:autoSpaceDE w:val="0"/>
        <w:autoSpaceDN w:val="0"/>
        <w:adjustRightInd w:val="0"/>
        <w:ind w:left="284" w:hanging="284"/>
        <w:rPr>
          <w:rFonts w:ascii="Calibri" w:hAnsi="Calibri" w:cs="Calibri"/>
          <w:noProof/>
          <w:sz w:val="22"/>
        </w:rPr>
      </w:pPr>
      <w:r>
        <w:rPr>
          <w:rFonts w:ascii="Calibri" w:hAnsi="Calibri" w:cs="Calibri"/>
          <w:noProof/>
          <w:sz w:val="22"/>
        </w:rPr>
        <w:t xml:space="preserve">3. </w:t>
      </w:r>
      <w:r>
        <w:rPr>
          <w:rFonts w:ascii="Calibri" w:hAnsi="Calibri" w:cs="Calibri"/>
          <w:noProof/>
          <w:sz w:val="22"/>
        </w:rPr>
        <w:tab/>
        <w:t>Ijäs</w:t>
      </w:r>
      <w:r w:rsidRPr="00A11534">
        <w:rPr>
          <w:rFonts w:ascii="Calibri" w:hAnsi="Calibri" w:cs="Calibri"/>
          <w:noProof/>
          <w:sz w:val="22"/>
        </w:rPr>
        <w:t xml:space="preserve"> Heini, Iiris Hakaste, Boxuan Shen, Mauri A. Kostiainen, Veikko Linko. </w:t>
      </w:r>
      <w:r>
        <w:rPr>
          <w:rFonts w:ascii="Calibri" w:hAnsi="Calibri" w:cs="Calibri"/>
          <w:noProof/>
          <w:sz w:val="22"/>
        </w:rPr>
        <w:t>(2019)</w:t>
      </w:r>
      <w:r w:rsidRPr="00A11534">
        <w:rPr>
          <w:rFonts w:ascii="Calibri" w:hAnsi="Calibri" w:cs="Calibri"/>
          <w:noProof/>
          <w:sz w:val="22"/>
        </w:rPr>
        <w:t xml:space="preserve"> </w:t>
      </w:r>
      <w:r w:rsidRPr="00A11534">
        <w:rPr>
          <w:rFonts w:ascii="Calibri" w:hAnsi="Calibri" w:cs="Calibri"/>
          <w:i/>
          <w:iCs/>
          <w:noProof/>
          <w:sz w:val="22"/>
        </w:rPr>
        <w:t>ACS Nano</w:t>
      </w:r>
      <w:r w:rsidRPr="00A11534">
        <w:rPr>
          <w:rFonts w:ascii="Calibri" w:hAnsi="Calibri" w:cs="Calibri"/>
          <w:noProof/>
          <w:sz w:val="22"/>
        </w:rPr>
        <w:t xml:space="preserve"> 13:5959–67.</w:t>
      </w:r>
    </w:p>
    <w:p w14:paraId="2B36D5CC" w14:textId="2174A85D" w:rsidR="00A11534" w:rsidRPr="00A11534" w:rsidRDefault="00A11534" w:rsidP="00A11534">
      <w:pPr>
        <w:widowControl w:val="0"/>
        <w:autoSpaceDE w:val="0"/>
        <w:autoSpaceDN w:val="0"/>
        <w:adjustRightInd w:val="0"/>
        <w:ind w:left="284" w:hanging="284"/>
        <w:rPr>
          <w:rFonts w:ascii="Calibri" w:hAnsi="Calibri" w:cs="Calibri"/>
          <w:noProof/>
          <w:sz w:val="22"/>
        </w:rPr>
      </w:pPr>
      <w:r w:rsidRPr="00A11534">
        <w:rPr>
          <w:rFonts w:ascii="Calibri" w:hAnsi="Calibri" w:cs="Calibri"/>
          <w:noProof/>
          <w:sz w:val="22"/>
          <w:lang w:val="fi-FI"/>
        </w:rPr>
        <w:t xml:space="preserve">4. </w:t>
      </w:r>
      <w:r>
        <w:rPr>
          <w:rFonts w:ascii="Calibri" w:hAnsi="Calibri" w:cs="Calibri"/>
          <w:noProof/>
          <w:sz w:val="22"/>
          <w:lang w:val="fi-FI"/>
        </w:rPr>
        <w:tab/>
        <w:t>Kostiainen</w:t>
      </w:r>
      <w:r w:rsidRPr="00A11534">
        <w:rPr>
          <w:rFonts w:ascii="Calibri" w:hAnsi="Calibri" w:cs="Calibri"/>
          <w:noProof/>
          <w:sz w:val="22"/>
          <w:lang w:val="fi-FI"/>
        </w:rPr>
        <w:t xml:space="preserve"> Mauri A., Panu Hiekkataipale, Ari Laiho, Vincent Lemieux, Jani Seitsonen, Janne Ruokolainen, Pierpaolo Ceci. </w:t>
      </w:r>
      <w:r>
        <w:rPr>
          <w:rFonts w:ascii="Calibri" w:hAnsi="Calibri" w:cs="Calibri"/>
          <w:noProof/>
          <w:sz w:val="22"/>
        </w:rPr>
        <w:t>(2013)</w:t>
      </w:r>
      <w:r w:rsidRPr="00A11534">
        <w:rPr>
          <w:rFonts w:ascii="Calibri" w:hAnsi="Calibri" w:cs="Calibri"/>
          <w:noProof/>
          <w:sz w:val="22"/>
        </w:rPr>
        <w:t xml:space="preserve"> </w:t>
      </w:r>
      <w:r w:rsidRPr="00A11534">
        <w:rPr>
          <w:rFonts w:ascii="Calibri" w:hAnsi="Calibri" w:cs="Calibri"/>
          <w:i/>
          <w:iCs/>
          <w:noProof/>
          <w:sz w:val="22"/>
        </w:rPr>
        <w:t>Nature Nanotech.</w:t>
      </w:r>
      <w:r w:rsidRPr="00A11534">
        <w:rPr>
          <w:rFonts w:ascii="Calibri" w:hAnsi="Calibri" w:cs="Calibri"/>
          <w:noProof/>
          <w:sz w:val="22"/>
        </w:rPr>
        <w:t xml:space="preserve"> 8(1):52–56.</w:t>
      </w:r>
    </w:p>
    <w:p w14:paraId="71B4B8CA" w14:textId="28A0CC75" w:rsidR="00A11534" w:rsidRPr="00A11534" w:rsidRDefault="00A11534" w:rsidP="00A11534">
      <w:pPr>
        <w:widowControl w:val="0"/>
        <w:autoSpaceDE w:val="0"/>
        <w:autoSpaceDN w:val="0"/>
        <w:adjustRightInd w:val="0"/>
        <w:ind w:left="284" w:hanging="284"/>
        <w:rPr>
          <w:rFonts w:ascii="Calibri" w:hAnsi="Calibri" w:cs="Calibri"/>
          <w:noProof/>
          <w:sz w:val="22"/>
        </w:rPr>
      </w:pPr>
      <w:r w:rsidRPr="00A11534">
        <w:rPr>
          <w:rFonts w:ascii="Calibri" w:hAnsi="Calibri" w:cs="Calibri"/>
          <w:noProof/>
          <w:sz w:val="22"/>
          <w:lang w:val="fi-FI"/>
        </w:rPr>
        <w:t xml:space="preserve">5. </w:t>
      </w:r>
      <w:r>
        <w:rPr>
          <w:rFonts w:ascii="Calibri" w:hAnsi="Calibri" w:cs="Calibri"/>
          <w:noProof/>
          <w:sz w:val="22"/>
          <w:lang w:val="fi-FI"/>
        </w:rPr>
        <w:tab/>
        <w:t>Liljeström</w:t>
      </w:r>
      <w:r w:rsidRPr="00A11534">
        <w:rPr>
          <w:rFonts w:ascii="Calibri" w:hAnsi="Calibri" w:cs="Calibri"/>
          <w:noProof/>
          <w:sz w:val="22"/>
          <w:lang w:val="fi-FI"/>
        </w:rPr>
        <w:t xml:space="preserve"> Ville, Joona Mikkilä, and Mauri A. Kostiainen. </w:t>
      </w:r>
      <w:r>
        <w:rPr>
          <w:rFonts w:ascii="Calibri" w:hAnsi="Calibri" w:cs="Calibri"/>
          <w:noProof/>
          <w:sz w:val="22"/>
          <w:lang w:val="fi-FI"/>
        </w:rPr>
        <w:t>(</w:t>
      </w:r>
      <w:r w:rsidRPr="00A11534">
        <w:rPr>
          <w:rFonts w:ascii="Calibri" w:hAnsi="Calibri" w:cs="Calibri"/>
          <w:noProof/>
          <w:sz w:val="22"/>
          <w:lang w:val="fi-FI"/>
        </w:rPr>
        <w:t xml:space="preserve">2014) </w:t>
      </w:r>
      <w:r w:rsidRPr="00A11534">
        <w:rPr>
          <w:rFonts w:ascii="Calibri" w:hAnsi="Calibri" w:cs="Calibri"/>
          <w:i/>
          <w:iCs/>
          <w:noProof/>
          <w:sz w:val="22"/>
          <w:lang w:val="fi-FI"/>
        </w:rPr>
        <w:t xml:space="preserve">Nat. </w:t>
      </w:r>
      <w:r w:rsidRPr="00A11534">
        <w:rPr>
          <w:rFonts w:ascii="Calibri" w:hAnsi="Calibri" w:cs="Calibri"/>
          <w:i/>
          <w:iCs/>
          <w:noProof/>
          <w:sz w:val="22"/>
        </w:rPr>
        <w:t>Commun.</w:t>
      </w:r>
      <w:r w:rsidRPr="00A11534">
        <w:rPr>
          <w:rFonts w:ascii="Calibri" w:hAnsi="Calibri" w:cs="Calibri"/>
          <w:noProof/>
          <w:sz w:val="22"/>
        </w:rPr>
        <w:t xml:space="preserve"> 5:4445.</w:t>
      </w:r>
    </w:p>
    <w:p w14:paraId="3D221ABD" w14:textId="449DB4E8" w:rsidR="00A11534" w:rsidRPr="00A11534" w:rsidRDefault="00A11534" w:rsidP="00A11534">
      <w:pPr>
        <w:widowControl w:val="0"/>
        <w:autoSpaceDE w:val="0"/>
        <w:autoSpaceDN w:val="0"/>
        <w:adjustRightInd w:val="0"/>
        <w:ind w:left="284" w:hanging="284"/>
        <w:rPr>
          <w:rFonts w:ascii="Calibri" w:hAnsi="Calibri" w:cs="Calibri"/>
          <w:noProof/>
          <w:sz w:val="22"/>
        </w:rPr>
      </w:pPr>
      <w:r>
        <w:rPr>
          <w:rFonts w:ascii="Calibri" w:hAnsi="Calibri" w:cs="Calibri"/>
          <w:noProof/>
          <w:sz w:val="22"/>
        </w:rPr>
        <w:t xml:space="preserve">6. </w:t>
      </w:r>
      <w:r>
        <w:rPr>
          <w:rFonts w:ascii="Calibri" w:hAnsi="Calibri" w:cs="Calibri"/>
          <w:noProof/>
          <w:sz w:val="22"/>
        </w:rPr>
        <w:tab/>
        <w:t>Liljeström</w:t>
      </w:r>
      <w:r w:rsidRPr="00A11534">
        <w:rPr>
          <w:rFonts w:ascii="Calibri" w:hAnsi="Calibri" w:cs="Calibri"/>
          <w:noProof/>
          <w:sz w:val="22"/>
        </w:rPr>
        <w:t xml:space="preserve"> Ville, Ari Ora, Jukka Hassinen, Heikki T. Rekola, Nonappa, Maria Heilala, Ville Hynninen, Jussi J. Joensuu, Robin H. A. Ras, Päivi Törmä, Olli Ikkala, Mauri A. Kostiainen. </w:t>
      </w:r>
      <w:r>
        <w:rPr>
          <w:rFonts w:ascii="Calibri" w:hAnsi="Calibri" w:cs="Calibri"/>
          <w:noProof/>
          <w:sz w:val="22"/>
        </w:rPr>
        <w:t>(2017)</w:t>
      </w:r>
      <w:r w:rsidRPr="00A11534">
        <w:rPr>
          <w:rFonts w:ascii="Calibri" w:hAnsi="Calibri" w:cs="Calibri"/>
          <w:noProof/>
          <w:sz w:val="22"/>
        </w:rPr>
        <w:t xml:space="preserve"> </w:t>
      </w:r>
      <w:r w:rsidRPr="00A11534">
        <w:rPr>
          <w:rFonts w:ascii="Calibri" w:hAnsi="Calibri" w:cs="Calibri"/>
          <w:i/>
          <w:iCs/>
          <w:noProof/>
          <w:sz w:val="22"/>
        </w:rPr>
        <w:t>Nature Communications</w:t>
      </w:r>
      <w:r w:rsidRPr="00A11534">
        <w:rPr>
          <w:rFonts w:ascii="Calibri" w:hAnsi="Calibri" w:cs="Calibri"/>
          <w:noProof/>
          <w:sz w:val="22"/>
        </w:rPr>
        <w:t xml:space="preserve"> 8:671.</w:t>
      </w:r>
    </w:p>
    <w:p w14:paraId="60689A27" w14:textId="069BDD79" w:rsidR="00A11534" w:rsidRPr="00A11534" w:rsidRDefault="00A11534" w:rsidP="00A11534">
      <w:pPr>
        <w:widowControl w:val="0"/>
        <w:autoSpaceDE w:val="0"/>
        <w:autoSpaceDN w:val="0"/>
        <w:adjustRightInd w:val="0"/>
        <w:ind w:left="284" w:hanging="284"/>
        <w:rPr>
          <w:rFonts w:ascii="Calibri" w:hAnsi="Calibri" w:cs="Calibri"/>
          <w:noProof/>
          <w:sz w:val="22"/>
        </w:rPr>
      </w:pPr>
      <w:r>
        <w:rPr>
          <w:rFonts w:ascii="Calibri" w:hAnsi="Calibri" w:cs="Calibri"/>
          <w:noProof/>
          <w:sz w:val="22"/>
        </w:rPr>
        <w:t xml:space="preserve">7. </w:t>
      </w:r>
      <w:r>
        <w:rPr>
          <w:rFonts w:ascii="Calibri" w:hAnsi="Calibri" w:cs="Calibri"/>
          <w:noProof/>
          <w:sz w:val="22"/>
        </w:rPr>
        <w:tab/>
        <w:t>Mikkilä Joona</w:t>
      </w:r>
      <w:r w:rsidRPr="00A11534">
        <w:rPr>
          <w:rFonts w:ascii="Calibri" w:hAnsi="Calibri" w:cs="Calibri"/>
          <w:noProof/>
          <w:sz w:val="22"/>
        </w:rPr>
        <w:t xml:space="preserve">, E. Anaya-Plaza, V. Liljeström, J. R. Caston, T. Torres, A. De La Escosura, M. A. Kostiainen. </w:t>
      </w:r>
      <w:r>
        <w:rPr>
          <w:rFonts w:ascii="Calibri" w:hAnsi="Calibri" w:cs="Calibri"/>
          <w:noProof/>
          <w:sz w:val="22"/>
        </w:rPr>
        <w:t>(2016)</w:t>
      </w:r>
      <w:r w:rsidRPr="00A11534">
        <w:rPr>
          <w:rFonts w:ascii="Calibri" w:hAnsi="Calibri" w:cs="Calibri"/>
          <w:noProof/>
          <w:sz w:val="22"/>
        </w:rPr>
        <w:t xml:space="preserve"> </w:t>
      </w:r>
      <w:r w:rsidRPr="00A11534">
        <w:rPr>
          <w:rFonts w:ascii="Calibri" w:hAnsi="Calibri" w:cs="Calibri"/>
          <w:i/>
          <w:iCs/>
          <w:noProof/>
          <w:sz w:val="22"/>
        </w:rPr>
        <w:t>ACS Nano</w:t>
      </w:r>
      <w:r w:rsidRPr="00A11534">
        <w:rPr>
          <w:rFonts w:ascii="Calibri" w:hAnsi="Calibri" w:cs="Calibri"/>
          <w:noProof/>
          <w:sz w:val="22"/>
        </w:rPr>
        <w:t xml:space="preserve"> 10(1):1565–71.</w:t>
      </w:r>
    </w:p>
    <w:p w14:paraId="27EEADAD" w14:textId="4E476E13" w:rsidR="00A11534" w:rsidRPr="00A11534" w:rsidRDefault="00A11534" w:rsidP="00A11534">
      <w:pPr>
        <w:widowControl w:val="0"/>
        <w:autoSpaceDE w:val="0"/>
        <w:autoSpaceDN w:val="0"/>
        <w:adjustRightInd w:val="0"/>
        <w:ind w:left="284" w:hanging="284"/>
        <w:rPr>
          <w:rFonts w:ascii="Calibri" w:hAnsi="Calibri" w:cs="Calibri"/>
          <w:noProof/>
          <w:sz w:val="22"/>
        </w:rPr>
      </w:pPr>
      <w:r>
        <w:rPr>
          <w:rFonts w:ascii="Calibri" w:hAnsi="Calibri" w:cs="Calibri"/>
          <w:noProof/>
          <w:sz w:val="22"/>
        </w:rPr>
        <w:t xml:space="preserve">8. </w:t>
      </w:r>
      <w:r w:rsidR="00BC31BB">
        <w:rPr>
          <w:rFonts w:ascii="Calibri" w:hAnsi="Calibri" w:cs="Calibri"/>
          <w:noProof/>
          <w:sz w:val="22"/>
        </w:rPr>
        <w:tab/>
      </w:r>
      <w:r>
        <w:rPr>
          <w:rFonts w:ascii="Calibri" w:hAnsi="Calibri" w:cs="Calibri"/>
          <w:noProof/>
          <w:sz w:val="22"/>
        </w:rPr>
        <w:t>Mikkilä</w:t>
      </w:r>
      <w:r w:rsidRPr="00A11534">
        <w:rPr>
          <w:rFonts w:ascii="Calibri" w:hAnsi="Calibri" w:cs="Calibri"/>
          <w:noProof/>
          <w:sz w:val="22"/>
        </w:rPr>
        <w:t xml:space="preserve"> Joona, Antti-Pekka Eskelinen, Elina H. Niemelä, Veikko Linko, Mikko J. Frilander, Päivi Törmä, Mauri A. Kostiainen. </w:t>
      </w:r>
      <w:r>
        <w:rPr>
          <w:rFonts w:ascii="Calibri" w:hAnsi="Calibri" w:cs="Calibri"/>
          <w:noProof/>
          <w:sz w:val="22"/>
        </w:rPr>
        <w:t>(2014)</w:t>
      </w:r>
      <w:r w:rsidRPr="00A11534">
        <w:rPr>
          <w:rFonts w:ascii="Calibri" w:hAnsi="Calibri" w:cs="Calibri"/>
          <w:noProof/>
          <w:sz w:val="22"/>
        </w:rPr>
        <w:t xml:space="preserve"> </w:t>
      </w:r>
      <w:r w:rsidRPr="00A11534">
        <w:rPr>
          <w:rFonts w:ascii="Calibri" w:hAnsi="Calibri" w:cs="Calibri"/>
          <w:i/>
          <w:iCs/>
          <w:noProof/>
          <w:sz w:val="22"/>
        </w:rPr>
        <w:t>Nano Lett.</w:t>
      </w:r>
      <w:r w:rsidRPr="00A11534">
        <w:rPr>
          <w:rFonts w:ascii="Calibri" w:hAnsi="Calibri" w:cs="Calibri"/>
          <w:noProof/>
          <w:sz w:val="22"/>
        </w:rPr>
        <w:t xml:space="preserve"> 14(4):2196–2200.</w:t>
      </w:r>
    </w:p>
    <w:p w14:paraId="789470F8" w14:textId="5818BDAD" w:rsidR="00FE00A9" w:rsidRPr="00BC5F5C" w:rsidRDefault="00FE00A9" w:rsidP="00A11534">
      <w:pPr>
        <w:ind w:left="284" w:hanging="284"/>
        <w:jc w:val="both"/>
        <w:rPr>
          <w:rFonts w:ascii="Calibri" w:hAnsi="Calibri" w:cs="Calibri"/>
          <w:sz w:val="22"/>
          <w:szCs w:val="22"/>
          <w:lang w:val="fi-FI"/>
        </w:rPr>
      </w:pPr>
      <w:r w:rsidRPr="006F677B">
        <w:rPr>
          <w:rFonts w:ascii="Calibri" w:hAnsi="Calibri" w:cs="Calibri"/>
          <w:sz w:val="22"/>
          <w:szCs w:val="22"/>
        </w:rPr>
        <w:fldChar w:fldCharType="end"/>
      </w:r>
    </w:p>
    <w:sectPr w:rsidR="00FE00A9" w:rsidRPr="00BC5F5C"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186"/>
    <w:multiLevelType w:val="hybridMultilevel"/>
    <w:tmpl w:val="FE8CE5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6F677B"/>
    <w:rsid w:val="00711813"/>
    <w:rsid w:val="00724E3C"/>
    <w:rsid w:val="00743C46"/>
    <w:rsid w:val="0085399E"/>
    <w:rsid w:val="008909C9"/>
    <w:rsid w:val="009454A1"/>
    <w:rsid w:val="00947B77"/>
    <w:rsid w:val="009B2641"/>
    <w:rsid w:val="009E2228"/>
    <w:rsid w:val="009F06D6"/>
    <w:rsid w:val="00A11534"/>
    <w:rsid w:val="00A266B4"/>
    <w:rsid w:val="00A437DC"/>
    <w:rsid w:val="00B01C88"/>
    <w:rsid w:val="00BC31BB"/>
    <w:rsid w:val="00BC5F5C"/>
    <w:rsid w:val="00BC5FCC"/>
    <w:rsid w:val="00C60A71"/>
    <w:rsid w:val="00CC165A"/>
    <w:rsid w:val="00D55F3B"/>
    <w:rsid w:val="00DA2731"/>
    <w:rsid w:val="00DC0ABB"/>
    <w:rsid w:val="00DF1C8E"/>
    <w:rsid w:val="00EF12F3"/>
    <w:rsid w:val="00F26BBE"/>
    <w:rsid w:val="00F97620"/>
    <w:rsid w:val="00FE0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A1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451A-F39D-4EB9-B033-787B5ABE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2547</Words>
  <Characters>20636</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23137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Kostiainen Mauri</cp:lastModifiedBy>
  <cp:revision>8</cp:revision>
  <cp:lastPrinted>2013-06-13T05:15:00Z</cp:lastPrinted>
  <dcterms:created xsi:type="dcterms:W3CDTF">2019-08-09T09:43:00Z</dcterms:created>
  <dcterms:modified xsi:type="dcterms:W3CDTF">2019-08-09T12:46:00Z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http://www.zotero.org/styles/angewandte-chemie</vt:lpwstr>
  </property>
  <property fmtid="{D5CDD505-2E9C-101B-9397-08002B2CF9AE}" pid="11" name="Mendeley Recent Style Name 4_1">
    <vt:lpwstr>Angewandte Chemie International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http://www.zotero.org/styles/journal-of-the-american-chemical-society</vt:lpwstr>
  </property>
  <property fmtid="{D5CDD505-2E9C-101B-9397-08002B2CF9AE}" pid="19" name="Mendeley Recent Style Name 8_1">
    <vt:lpwstr>Journal of the American Chemical Society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cbe440ab-a457-3f1c-a760-8ed3d6312f7f</vt:lpwstr>
  </property>
</Properties>
</file>