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3C" w:rsidRPr="006B063C" w:rsidRDefault="006B063C" w:rsidP="006B063C">
      <w:pPr>
        <w:pStyle w:val="Heading1"/>
        <w:spacing w:before="0" w:after="120" w:line="288" w:lineRule="auto"/>
        <w:rPr>
          <w:rFonts w:asciiTheme="minorHAnsi" w:hAnsiTheme="minorHAnsi"/>
          <w:color w:val="auto"/>
          <w:sz w:val="20"/>
          <w:szCs w:val="20"/>
        </w:rPr>
      </w:pPr>
      <w:r w:rsidRPr="006B063C">
        <w:rPr>
          <w:rFonts w:asciiTheme="minorHAnsi" w:hAnsiTheme="minorHAnsi"/>
          <w:color w:val="auto"/>
          <w:sz w:val="20"/>
          <w:szCs w:val="20"/>
        </w:rPr>
        <w:t>Unpacking the GATE position paper on assistive technology provision</w:t>
      </w:r>
    </w:p>
    <w:p w:rsidR="006B063C" w:rsidRPr="006B063C" w:rsidRDefault="006B063C" w:rsidP="006B063C">
      <w:pPr>
        <w:spacing w:after="120" w:line="288" w:lineRule="auto"/>
        <w:rPr>
          <w:sz w:val="20"/>
          <w:szCs w:val="20"/>
        </w:rPr>
      </w:pPr>
      <w:r w:rsidRPr="006B063C">
        <w:rPr>
          <w:sz w:val="20"/>
          <w:szCs w:val="20"/>
        </w:rPr>
        <w:t xml:space="preserve">The World Health Organization’s (WHO) Global Collaboration on Assistive Technology’s (GATE) position paper on assistive technology provision was developed in association with the Global Research, Innovation and Education on Assistive Technology (GREAT) summit in Geneva (2017) and published in 2018. This presentation will present key points from the position paper on how assistive technology services can be delivered systematically to improve access to and outcomes from assistive technology. It will describe the steps involved in systematic assistive technology provision, from the first indication of need through to continued use of assistive solutions. Criteria for evaluating the quality of assistive technology provision will be presented and discussed in relation to the structures, processes and outcomes of particular programs. </w:t>
      </w:r>
    </w:p>
    <w:p w:rsidR="006B063C" w:rsidRPr="006B063C" w:rsidRDefault="006B063C" w:rsidP="006B063C">
      <w:pPr>
        <w:spacing w:after="120" w:line="288" w:lineRule="auto"/>
        <w:rPr>
          <w:sz w:val="20"/>
          <w:szCs w:val="20"/>
        </w:rPr>
      </w:pPr>
      <w:r w:rsidRPr="006B063C">
        <w:rPr>
          <w:sz w:val="20"/>
          <w:szCs w:val="20"/>
        </w:rPr>
        <w:t>Implementing the recommendations from the GATE position paper requires change at the level or individuals, organisations and systems, including re-orientation of systems to a rights-based approach, and the establishment of outcomes measurement as a standard practice. The implications for tertiary education and vocational training, as well as continuing professional development, and challenges with the current Australian policy and funding structures will be discu</w:t>
      </w:r>
      <w:bookmarkStart w:id="0" w:name="_GoBack"/>
      <w:bookmarkEnd w:id="0"/>
      <w:r w:rsidRPr="006B063C">
        <w:rPr>
          <w:sz w:val="20"/>
          <w:szCs w:val="20"/>
        </w:rPr>
        <w:t>ssed.</w:t>
      </w:r>
    </w:p>
    <w:sectPr w:rsidR="006B063C" w:rsidRPr="006B0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AA"/>
    <w:rsid w:val="00085C9D"/>
    <w:rsid w:val="0010184E"/>
    <w:rsid w:val="00354213"/>
    <w:rsid w:val="00423BAA"/>
    <w:rsid w:val="005E0C92"/>
    <w:rsid w:val="006B063C"/>
    <w:rsid w:val="006D0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9209"/>
  <w15:chartTrackingRefBased/>
  <w15:docId w15:val="{EB6C91AC-97F4-45CE-972F-08482C3D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9D"/>
  </w:style>
  <w:style w:type="paragraph" w:styleId="Heading1">
    <w:name w:val="heading 1"/>
    <w:basedOn w:val="Normal"/>
    <w:next w:val="Normal"/>
    <w:link w:val="Heading1Char"/>
    <w:uiPriority w:val="9"/>
    <w:qFormat/>
    <w:rsid w:val="00423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B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Steel</dc:creator>
  <cp:keywords/>
  <dc:description/>
  <cp:lastModifiedBy>Emily Steel</cp:lastModifiedBy>
  <cp:revision>2</cp:revision>
  <dcterms:created xsi:type="dcterms:W3CDTF">2018-05-30T00:30:00Z</dcterms:created>
  <dcterms:modified xsi:type="dcterms:W3CDTF">2018-05-30T00:30:00Z</dcterms:modified>
</cp:coreProperties>
</file>