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15 minute, 30 minute, 1 hour oral session</w:t>
      </w:r>
      <w:r>
        <w:rPr>
          <w:rFonts w:ascii="Arial" w:hAnsi="Arial" w:cs="Arial"/>
          <w:b/>
          <w:sz w:val="28"/>
          <w:szCs w:val="28"/>
        </w:rPr>
        <w:t xml:space="preserve"> or poster</w:t>
      </w:r>
    </w:p>
    <w:p w:rsidR="00E969FA" w:rsidRDefault="00E969FA" w:rsidP="00E969FA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</w:rPr>
        <w:t>In order to be consi</w:t>
      </w:r>
      <w:r w:rsidR="00561AD8">
        <w:rPr>
          <w:rFonts w:ascii="Arial" w:hAnsi="Arial" w:cs="Arial"/>
        </w:rPr>
        <w:t>dered for a presentation at GP1</w:t>
      </w:r>
      <w:r w:rsidR="005C4F93">
        <w:rPr>
          <w:rFonts w:ascii="Arial" w:hAnsi="Arial" w:cs="Arial"/>
        </w:rPr>
        <w:t>8</w:t>
      </w:r>
      <w:r w:rsidRPr="003F534D">
        <w:rPr>
          <w:rFonts w:ascii="Arial" w:hAnsi="Arial" w:cs="Arial"/>
        </w:rPr>
        <w:t>, your abstract must mirror the following template. It is your responsibility to familiarize yourself with and adhere to the GP1</w:t>
      </w:r>
      <w:r w:rsidR="00226C37">
        <w:rPr>
          <w:rFonts w:ascii="Arial" w:hAnsi="Arial" w:cs="Arial"/>
        </w:rPr>
        <w:t>6</w:t>
      </w:r>
      <w:r w:rsidRPr="003F534D">
        <w:rPr>
          <w:rFonts w:ascii="Arial" w:hAnsi="Arial" w:cs="Arial"/>
        </w:rPr>
        <w:t xml:space="preserve"> abstract guidelines. We ask that you write in paragraph style as text may be used in the program handbook, app and/or GP1</w:t>
      </w:r>
      <w:r w:rsidR="005C4F93">
        <w:rPr>
          <w:rFonts w:ascii="Arial" w:hAnsi="Arial" w:cs="Arial"/>
        </w:rPr>
        <w:t>8</w:t>
      </w:r>
      <w:r w:rsidRPr="003F534D">
        <w:rPr>
          <w:rFonts w:ascii="Arial" w:hAnsi="Arial" w:cs="Arial"/>
        </w:rPr>
        <w:t xml:space="preserve"> website. </w:t>
      </w:r>
      <w:r w:rsidRPr="00DC7A66">
        <w:rPr>
          <w:rFonts w:ascii="Arial" w:hAnsi="Arial" w:cs="Arial"/>
          <w:b/>
        </w:rPr>
        <w:t>Abstracts must be a maximum of 3</w:t>
      </w:r>
      <w:r w:rsidR="00DC7A66" w:rsidRPr="00DC7A66">
        <w:rPr>
          <w:rFonts w:ascii="Arial" w:hAnsi="Arial" w:cs="Arial"/>
          <w:b/>
        </w:rPr>
        <w:t>0</w:t>
      </w:r>
      <w:r w:rsidRPr="00DC7A66">
        <w:rPr>
          <w:rFonts w:ascii="Arial" w:hAnsi="Arial" w:cs="Arial"/>
          <w:b/>
        </w:rPr>
        <w:t>0 words</w:t>
      </w:r>
      <w:r w:rsidRPr="003F534D">
        <w:rPr>
          <w:rFonts w:ascii="Arial" w:hAnsi="Arial" w:cs="Arial"/>
        </w:rPr>
        <w:t xml:space="preserve"> (</w:t>
      </w:r>
      <w:r w:rsidR="00CE681C">
        <w:rPr>
          <w:rFonts w:ascii="Arial" w:hAnsi="Arial" w:cs="Arial"/>
        </w:rPr>
        <w:t>ex</w:t>
      </w:r>
      <w:r w:rsidRPr="003F534D">
        <w:rPr>
          <w:rFonts w:ascii="Arial" w:hAnsi="Arial" w:cs="Arial"/>
        </w:rPr>
        <w:t>cluding headings</w:t>
      </w:r>
      <w:r w:rsidR="00CE681C">
        <w:rPr>
          <w:rFonts w:ascii="Arial" w:hAnsi="Arial" w:cs="Arial"/>
        </w:rPr>
        <w:t>, author/affiliations</w:t>
      </w:r>
      <w:r>
        <w:rPr>
          <w:rFonts w:ascii="Arial" w:hAnsi="Arial" w:cs="Arial"/>
        </w:rPr>
        <w:t xml:space="preserve"> and reference</w:t>
      </w:r>
      <w:r w:rsidRPr="003F534D">
        <w:rPr>
          <w:rFonts w:ascii="Arial" w:hAnsi="Arial" w:cs="Arial"/>
        </w:rPr>
        <w:t xml:space="preserve">).  The title, author/presenter and affiliation details will be merged automatically in the final PDF and will not affect your word count; hence do not list names on this page.  </w:t>
      </w:r>
      <w:r>
        <w:rPr>
          <w:rFonts w:ascii="Arial" w:hAnsi="Arial" w:cs="Arial"/>
        </w:rPr>
        <w:t>Do not include p</w:t>
      </w:r>
      <w:r w:rsidR="00CE681C">
        <w:rPr>
          <w:rFonts w:ascii="Arial" w:hAnsi="Arial" w:cs="Arial"/>
        </w:rPr>
        <w:t>ictures</w:t>
      </w:r>
      <w:r w:rsidRPr="003F534D">
        <w:rPr>
          <w:rFonts w:ascii="Arial" w:hAnsi="Arial" w:cs="Arial"/>
        </w:rPr>
        <w:t>. Thank you for your time, effort and support of GP1</w:t>
      </w:r>
      <w:r w:rsidR="005C4F93">
        <w:rPr>
          <w:rFonts w:ascii="Arial" w:hAnsi="Arial" w:cs="Arial"/>
        </w:rPr>
        <w:t>8</w:t>
      </w:r>
      <w:r w:rsidRPr="003F534D">
        <w:rPr>
          <w:rFonts w:ascii="Arial" w:hAnsi="Arial" w:cs="Arial"/>
        </w:rPr>
        <w:t xml:space="preserve">. </w:t>
      </w:r>
    </w:p>
    <w:p w:rsidR="00634A5F" w:rsidRDefault="00634A5F" w:rsidP="00E969FA">
      <w:pPr>
        <w:spacing w:after="0"/>
        <w:rPr>
          <w:rFonts w:ascii="Arial" w:hAnsi="Arial" w:cs="Arial"/>
        </w:rPr>
      </w:pPr>
    </w:p>
    <w:p w:rsidR="00E969FA" w:rsidRPr="007516BD" w:rsidRDefault="00E969FA" w:rsidP="00E969FA">
      <w:pPr>
        <w:spacing w:after="0"/>
        <w:rPr>
          <w:rFonts w:ascii="Arial" w:hAnsi="Arial" w:cs="Arial"/>
          <w:color w:val="FF0000"/>
        </w:rPr>
      </w:pPr>
      <w:r w:rsidRPr="007516BD">
        <w:rPr>
          <w:rFonts w:ascii="Arial" w:hAnsi="Arial" w:cs="Arial"/>
          <w:b/>
          <w:color w:val="FF0000"/>
          <w:u w:val="single"/>
        </w:rPr>
        <w:t xml:space="preserve">Please delete </w:t>
      </w:r>
      <w:r w:rsidR="00F21792">
        <w:rPr>
          <w:rFonts w:ascii="Arial" w:hAnsi="Arial" w:cs="Arial"/>
          <w:b/>
          <w:color w:val="FF0000"/>
          <w:u w:val="single"/>
        </w:rPr>
        <w:t>the above title and</w:t>
      </w:r>
      <w:r w:rsidRPr="007516BD">
        <w:rPr>
          <w:rFonts w:ascii="Arial" w:hAnsi="Arial" w:cs="Arial"/>
          <w:b/>
          <w:color w:val="FF0000"/>
          <w:u w:val="single"/>
        </w:rPr>
        <w:t xml:space="preserve"> paragraph before submitting</w:t>
      </w:r>
      <w:r w:rsidRPr="007516BD">
        <w:rPr>
          <w:rFonts w:ascii="Arial" w:hAnsi="Arial" w:cs="Arial"/>
          <w:b/>
          <w:color w:val="FF0000"/>
        </w:rPr>
        <w:t>.</w:t>
      </w: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A77888" w:rsidRDefault="005C4F93" w:rsidP="00A77888">
      <w:pPr>
        <w:pStyle w:val="Heading1"/>
      </w:pPr>
      <w:r w:rsidRPr="005C4F93">
        <w:rPr>
          <w:rFonts w:ascii="Arial" w:hAnsi="Arial" w:cs="Arial"/>
          <w:b/>
        </w:rPr>
        <w:t>Title</w:t>
      </w:r>
      <w:r w:rsidR="00A77888">
        <w:rPr>
          <w:rFonts w:ascii="Arial" w:hAnsi="Arial" w:cs="Arial"/>
          <w:b/>
        </w:rPr>
        <w:t xml:space="preserve">.  </w:t>
      </w:r>
      <w:r w:rsidR="00A77888" w:rsidRPr="00BB04D5">
        <w:t>Understanding</w:t>
      </w:r>
      <w:r w:rsidR="00A77888">
        <w:t xml:space="preserve"> general practitioners’</w:t>
      </w:r>
      <w:r w:rsidR="00A77888" w:rsidRPr="00BB04D5">
        <w:t xml:space="preserve"> clinical practice in </w:t>
      </w:r>
      <w:r w:rsidR="00A77888">
        <w:t>end-of-life</w:t>
      </w:r>
      <w:r w:rsidR="00A77888" w:rsidRPr="00BB04D5">
        <w:t xml:space="preserve"> care</w:t>
      </w:r>
      <w:r w:rsidR="00A77888">
        <w:t>: a qualitative study</w:t>
      </w:r>
    </w:p>
    <w:p w:rsidR="005C4F93" w:rsidRDefault="005C4F93" w:rsidP="00E969FA">
      <w:pPr>
        <w:spacing w:after="0"/>
        <w:rPr>
          <w:rFonts w:ascii="Arial" w:hAnsi="Arial" w:cs="Arial"/>
          <w:b/>
        </w:rPr>
      </w:pP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Geoffrey Mitchell, Primary Care Clinical Unit, University of Queensland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Laura Deckx, </w:t>
      </w:r>
      <w:r>
        <w:rPr>
          <w:rFonts w:ascii="Arial" w:hAnsi="Arial" w:cs="Arial"/>
          <w:b/>
        </w:rPr>
        <w:t>Primary Care Clinical Unit, University of Queensland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Michaela Kelly, </w:t>
      </w:r>
      <w:r>
        <w:rPr>
          <w:rFonts w:ascii="Arial" w:hAnsi="Arial" w:cs="Arial"/>
          <w:b/>
        </w:rPr>
        <w:t>Primary Care Clinical Unit, University of Queensland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Sue-Ann Carmont, </w:t>
      </w:r>
      <w:r>
        <w:rPr>
          <w:rFonts w:ascii="Arial" w:hAnsi="Arial" w:cs="Arial"/>
          <w:b/>
        </w:rPr>
        <w:t>Primary Care Clinical Unit, University of Queensland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John Rosenberg, School of Nursing, Queensland University of Technology</w:t>
      </w:r>
    </w:p>
    <w:p w:rsidR="00A77888" w:rsidRPr="005C4F93" w:rsidRDefault="00A7788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Patsy Yates,  </w:t>
      </w:r>
      <w:r>
        <w:rPr>
          <w:rFonts w:ascii="Arial" w:hAnsi="Arial" w:cs="Arial"/>
          <w:b/>
        </w:rPr>
        <w:t>School of Nursing, Queensland University of Technology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A77888" w:rsidRDefault="00A77888" w:rsidP="00A77888">
      <w:pPr>
        <w:rPr>
          <w:lang w:val="en-GB"/>
        </w:rPr>
      </w:pPr>
      <w:r w:rsidRPr="006B4537">
        <w:t>Early identification and care planning improve outcomes</w:t>
      </w:r>
      <w:r>
        <w:t xml:space="preserve"> at the end of life</w:t>
      </w:r>
      <w:r w:rsidRPr="00CA5CB3">
        <w:rPr>
          <w:lang w:val="en-GB"/>
        </w:rPr>
        <w:t>. Nevertheless, the majority of people who die are not identified in time to e</w:t>
      </w:r>
      <w:r>
        <w:rPr>
          <w:lang w:val="en-GB"/>
        </w:rPr>
        <w:t xml:space="preserve">nable appropriate care planning. </w:t>
      </w:r>
      <w:bookmarkStart w:id="0" w:name="_GoBack"/>
      <w:bookmarkEnd w:id="0"/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A77888" w:rsidP="00E969FA">
      <w:pPr>
        <w:pStyle w:val="NoSpacing"/>
        <w:rPr>
          <w:rFonts w:ascii="Arial" w:hAnsi="Arial" w:cs="Arial"/>
        </w:rPr>
      </w:pPr>
      <w:r>
        <w:rPr>
          <w:lang w:val="en-GB"/>
        </w:rPr>
        <w:t>To</w:t>
      </w:r>
      <w:r w:rsidRPr="00CA5CB3">
        <w:rPr>
          <w:lang w:val="en-GB"/>
        </w:rPr>
        <w:t xml:space="preserve"> describe what triggered </w:t>
      </w:r>
      <w:r>
        <w:rPr>
          <w:lang w:val="en-GB"/>
        </w:rPr>
        <w:t>general practitioners</w:t>
      </w:r>
      <w:r w:rsidRPr="00CA5CB3">
        <w:rPr>
          <w:lang w:val="en-GB"/>
        </w:rPr>
        <w:t xml:space="preserve"> to </w:t>
      </w:r>
      <w:r w:rsidRPr="00D34C5B">
        <w:rPr>
          <w:lang w:val="en-GB"/>
        </w:rPr>
        <w:t xml:space="preserve">identify </w:t>
      </w:r>
      <w:r>
        <w:rPr>
          <w:lang w:val="en-GB"/>
        </w:rPr>
        <w:t xml:space="preserve">and </w:t>
      </w:r>
      <w:r w:rsidRPr="00D34C5B">
        <w:rPr>
          <w:lang w:val="en-GB"/>
        </w:rPr>
        <w:t>discuss approaching end of life; how their practice changed; and the challenges they found in providing end-of-life care.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A77888" w:rsidRPr="00CA5CB3" w:rsidRDefault="00A77888" w:rsidP="00A77888">
      <w:pPr>
        <w:rPr>
          <w:lang w:val="en-GB"/>
        </w:rPr>
      </w:pPr>
      <w:r w:rsidRPr="00A77888">
        <w:rPr>
          <w:lang w:val="en-GB"/>
        </w:rPr>
        <w:t>We conducted a qualitative</w:t>
      </w:r>
      <w:r w:rsidRPr="006D6B00">
        <w:rPr>
          <w:lang w:val="en-GB"/>
        </w:rPr>
        <w:t xml:space="preserve"> study</w:t>
      </w:r>
      <w:r>
        <w:rPr>
          <w:lang w:val="en-GB"/>
        </w:rPr>
        <w:t xml:space="preserve"> of</w:t>
      </w:r>
      <w:r w:rsidRPr="006D6B00">
        <w:rPr>
          <w:lang w:val="en-GB"/>
        </w:rPr>
        <w:t xml:space="preserve"> </w:t>
      </w:r>
      <w:r>
        <w:rPr>
          <w:lang w:val="en-GB"/>
        </w:rPr>
        <w:t>f</w:t>
      </w:r>
      <w:r w:rsidRPr="006D6B00">
        <w:rPr>
          <w:lang w:val="en-GB"/>
        </w:rPr>
        <w:t>ifteen</w:t>
      </w:r>
      <w:r w:rsidRPr="00CA5CB3">
        <w:rPr>
          <w:lang w:val="en-GB"/>
        </w:rPr>
        <w:t xml:space="preserve"> </w:t>
      </w:r>
      <w:r>
        <w:rPr>
          <w:lang w:val="en-GB"/>
        </w:rPr>
        <w:t xml:space="preserve">Australian general practitioners (GPs) using </w:t>
      </w:r>
      <w:r w:rsidRPr="00CA5CB3">
        <w:rPr>
          <w:lang w:val="en-GB"/>
        </w:rPr>
        <w:t>semi-structured interviews</w:t>
      </w:r>
      <w:r>
        <w:rPr>
          <w:lang w:val="en-GB"/>
        </w:rPr>
        <w:t>,</w:t>
      </w:r>
      <w:r w:rsidRPr="00CA5CB3">
        <w:rPr>
          <w:lang w:val="en-GB"/>
        </w:rPr>
        <w:t xml:space="preserve"> </w:t>
      </w:r>
      <w:r>
        <w:rPr>
          <w:lang w:val="en-GB"/>
        </w:rPr>
        <w:t>examining</w:t>
      </w:r>
      <w:r w:rsidRPr="00CA5CB3">
        <w:rPr>
          <w:lang w:val="en-GB"/>
        </w:rPr>
        <w:t xml:space="preserve"> the end-of-life care of one of their randomly selected</w:t>
      </w:r>
      <w:r>
        <w:rPr>
          <w:lang w:val="en-GB"/>
        </w:rPr>
        <w:t>,</w:t>
      </w:r>
      <w:r w:rsidRPr="00CA5CB3">
        <w:rPr>
          <w:lang w:val="en-GB"/>
        </w:rPr>
        <w:t xml:space="preserve"> deceased patients</w:t>
      </w:r>
      <w:r>
        <w:rPr>
          <w:lang w:val="en-GB"/>
        </w:rPr>
        <w:t>.</w:t>
      </w:r>
      <w:r w:rsidRPr="00CA5CB3">
        <w:rPr>
          <w:lang w:val="en-GB"/>
        </w:rPr>
        <w:t xml:space="preserve"> Interviews were analysed </w:t>
      </w:r>
      <w:r w:rsidRPr="00CA5CB3">
        <w:rPr>
          <w:lang w:val="en-US"/>
        </w:rPr>
        <w:t>using a general inductive approach</w:t>
      </w:r>
      <w:r>
        <w:rPr>
          <w:lang w:val="en-US"/>
        </w:rPr>
        <w:t xml:space="preserve">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A77888" w:rsidP="00E969FA">
      <w:pPr>
        <w:pStyle w:val="NoSpacing"/>
        <w:rPr>
          <w:rFonts w:ascii="Arial" w:hAnsi="Arial" w:cs="Arial"/>
        </w:rPr>
      </w:pPr>
      <w:r w:rsidRPr="00CA5CB3">
        <w:rPr>
          <w:lang w:val="en-GB"/>
        </w:rPr>
        <w:t xml:space="preserve">When a life-limiting prognosis was articulated (by the patient or health professional), </w:t>
      </w:r>
      <w:r>
        <w:rPr>
          <w:lang w:val="en-GB"/>
        </w:rPr>
        <w:t xml:space="preserve">GPs </w:t>
      </w:r>
      <w:r w:rsidRPr="00CA5CB3">
        <w:rPr>
          <w:lang w:val="en-GB"/>
        </w:rPr>
        <w:t>integrated end-of-life care</w:t>
      </w:r>
      <w:r>
        <w:rPr>
          <w:lang w:val="en-GB"/>
        </w:rPr>
        <w:t xml:space="preserve"> into their clinical care directly</w:t>
      </w:r>
      <w:r w:rsidRPr="00CA5CB3">
        <w:rPr>
          <w:lang w:val="en-GB"/>
        </w:rPr>
        <w:t xml:space="preserve">. </w:t>
      </w:r>
      <w:r>
        <w:rPr>
          <w:lang w:val="en-GB"/>
        </w:rPr>
        <w:t>Care often included a care plan developed in consultation with the patient. Even w</w:t>
      </w:r>
      <w:r w:rsidRPr="00CA5CB3">
        <w:rPr>
          <w:lang w:val="en-GB"/>
        </w:rPr>
        <w:t xml:space="preserve">hen approaching death was not articulated, </w:t>
      </w:r>
      <w:r>
        <w:rPr>
          <w:lang w:val="en-GB"/>
        </w:rPr>
        <w:t>GPs</w:t>
      </w:r>
      <w:r w:rsidRPr="00CA5CB3">
        <w:rPr>
          <w:lang w:val="en-GB"/>
        </w:rPr>
        <w:t xml:space="preserve"> were</w:t>
      </w:r>
      <w:r>
        <w:rPr>
          <w:lang w:val="en-GB"/>
        </w:rPr>
        <w:t xml:space="preserve"> </w:t>
      </w:r>
      <w:r w:rsidRPr="00CA5CB3">
        <w:rPr>
          <w:lang w:val="en-GB"/>
        </w:rPr>
        <w:t>aware of approaching end of life</w:t>
      </w:r>
      <w:r>
        <w:rPr>
          <w:lang w:val="en-GB"/>
        </w:rPr>
        <w:t xml:space="preserve"> and</w:t>
      </w:r>
      <w:r w:rsidRPr="00CA5CB3">
        <w:rPr>
          <w:lang w:val="en-GB"/>
        </w:rPr>
        <w:t xml:space="preserve"> changed their focus to comfort of the patient</w:t>
      </w:r>
      <w:r>
        <w:rPr>
          <w:lang w:val="en-GB"/>
        </w:rPr>
        <w:t>. GPs generally had an informal care plan in mind</w:t>
      </w:r>
      <w:r w:rsidRPr="00CA5CB3">
        <w:rPr>
          <w:lang w:val="en-GB"/>
        </w:rPr>
        <w:t xml:space="preserve">, but this </w:t>
      </w:r>
      <w:r>
        <w:rPr>
          <w:lang w:val="en-GB"/>
        </w:rPr>
        <w:t xml:space="preserve">developed </w:t>
      </w:r>
      <w:r w:rsidRPr="00D34C5B">
        <w:rPr>
          <w:lang w:val="en-GB"/>
        </w:rPr>
        <w:t xml:space="preserve">gradually </w:t>
      </w:r>
      <w:r>
        <w:rPr>
          <w:lang w:val="en-GB"/>
        </w:rPr>
        <w:t xml:space="preserve">and </w:t>
      </w:r>
      <w:r w:rsidRPr="00D34C5B">
        <w:rPr>
          <w:lang w:val="en-GB"/>
        </w:rPr>
        <w:t>without discussing these plans with the patient.</w:t>
      </w:r>
      <w:r w:rsidRPr="00CA5CB3" w:rsidDel="001B0B74">
        <w:rPr>
          <w:lang w:val="en-GB"/>
        </w:rPr>
        <w:t xml:space="preserve"> </w:t>
      </w:r>
      <w:r w:rsidRPr="00CA5CB3">
        <w:rPr>
          <w:lang w:val="en-GB"/>
        </w:rPr>
        <w:t xml:space="preserve">How </w:t>
      </w:r>
      <w:r>
        <w:rPr>
          <w:lang w:val="en-GB"/>
        </w:rPr>
        <w:t>GPs</w:t>
      </w:r>
      <w:r w:rsidRPr="00CA5CB3">
        <w:rPr>
          <w:lang w:val="en-GB"/>
        </w:rPr>
        <w:t xml:space="preserve"> provided end-of-life care </w:t>
      </w:r>
      <w:r w:rsidRPr="00CA5CB3">
        <w:rPr>
          <w:lang w:val="en-GB"/>
        </w:rPr>
        <w:lastRenderedPageBreak/>
        <w:t xml:space="preserve">depended primarily on patient traits (e.g. willingness to discuss </w:t>
      </w:r>
      <w:r>
        <w:rPr>
          <w:lang w:val="en-GB"/>
        </w:rPr>
        <w:t>physical decline</w:t>
      </w:r>
      <w:r w:rsidRPr="00CA5CB3">
        <w:rPr>
          <w:lang w:val="en-GB"/>
        </w:rPr>
        <w:t xml:space="preserve">) and </w:t>
      </w:r>
      <w:r>
        <w:rPr>
          <w:lang w:val="en-GB"/>
        </w:rPr>
        <w:t>the general practitioner’s</w:t>
      </w:r>
      <w:r w:rsidRPr="00CA5CB3">
        <w:rPr>
          <w:lang w:val="en-GB"/>
        </w:rPr>
        <w:t xml:space="preserve"> characteristics (</w:t>
      </w:r>
      <w:r>
        <w:rPr>
          <w:lang w:val="en-GB"/>
        </w:rPr>
        <w:t xml:space="preserve">e.g. </w:t>
      </w:r>
      <w:r w:rsidRPr="00CA5CB3">
        <w:rPr>
          <w:lang w:val="en-GB"/>
        </w:rPr>
        <w:t>experience, training, and consulting style).</w:t>
      </w:r>
    </w:p>
    <w:p w:rsidR="00A77888" w:rsidRDefault="00A77888" w:rsidP="00E969FA">
      <w:pPr>
        <w:spacing w:after="0"/>
        <w:rPr>
          <w:rFonts w:ascii="Arial" w:hAnsi="Arial" w:cs="Arial"/>
          <w:b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A77888" w:rsidP="00E969FA">
      <w:pPr>
        <w:pStyle w:val="NoSpacing"/>
        <w:rPr>
          <w:rFonts w:ascii="Arial" w:hAnsi="Arial" w:cs="Arial"/>
        </w:rPr>
      </w:pPr>
      <w:r>
        <w:rPr>
          <w:lang w:val="en-GB"/>
        </w:rPr>
        <w:t>General practitioners</w:t>
      </w:r>
      <w:r w:rsidRPr="00CA5CB3">
        <w:rPr>
          <w:lang w:val="en-GB"/>
        </w:rPr>
        <w:t xml:space="preserve"> </w:t>
      </w:r>
      <w:r>
        <w:rPr>
          <w:lang w:val="en-GB"/>
        </w:rPr>
        <w:t>we</w:t>
      </w:r>
      <w:r w:rsidRPr="00CA5CB3">
        <w:rPr>
          <w:lang w:val="en-GB"/>
        </w:rPr>
        <w:t xml:space="preserve">re aware of their patients’ approaching </w:t>
      </w:r>
      <w:r>
        <w:rPr>
          <w:lang w:val="en-GB"/>
        </w:rPr>
        <w:t>end of life and care was adjusted accordingly.</w:t>
      </w:r>
      <w:r w:rsidRPr="00CA5CB3">
        <w:rPr>
          <w:lang w:val="en-GB"/>
        </w:rPr>
        <w:t xml:space="preserve"> However, the shift to end-of-life care was </w:t>
      </w:r>
      <w:r>
        <w:rPr>
          <w:lang w:val="en-GB"/>
        </w:rPr>
        <w:t>only</w:t>
      </w:r>
      <w:r w:rsidRPr="00CA5CB3">
        <w:rPr>
          <w:lang w:val="en-GB"/>
        </w:rPr>
        <w:t xml:space="preserve"> explicitly articulated</w:t>
      </w:r>
      <w:r>
        <w:rPr>
          <w:lang w:val="en-GB"/>
        </w:rPr>
        <w:t xml:space="preserve"> and discussed when the patient or GP did so. </w:t>
      </w:r>
      <w:r>
        <w:t>It is not clear if implicit but unarticulated end-of-life care is sufficient to meet patients’ needs</w:t>
      </w:r>
      <w:r w:rsidRPr="00CA5CB3">
        <w:rPr>
          <w:lang w:val="en-GB"/>
        </w:rPr>
        <w:t xml:space="preserve">. </w:t>
      </w:r>
      <w:r w:rsidRPr="00D34C5B">
        <w:rPr>
          <w:lang w:val="en-GB"/>
        </w:rPr>
        <w:t xml:space="preserve">Future studies should investigate </w:t>
      </w:r>
      <w:r>
        <w:rPr>
          <w:lang w:val="en-GB"/>
        </w:rPr>
        <w:t>this</w:t>
      </w:r>
      <w:r w:rsidRPr="00D34C5B">
        <w:rPr>
          <w:lang w:val="en-GB"/>
        </w:rPr>
        <w:t>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7A3219" w:rsidP="00A364F0">
      <w:pPr>
        <w:spacing w:after="0"/>
        <w:rPr>
          <w:rFonts w:cs="Arial"/>
        </w:rPr>
      </w:pP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881" w:rsidRDefault="005A4881" w:rsidP="00DB6276">
      <w:pPr>
        <w:spacing w:after="0" w:line="240" w:lineRule="auto"/>
      </w:pPr>
      <w:r>
        <w:separator/>
      </w:r>
    </w:p>
  </w:endnote>
  <w:endnote w:type="continuationSeparator" w:id="0">
    <w:p w:rsidR="005A4881" w:rsidRDefault="005A4881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881" w:rsidRDefault="005A4881" w:rsidP="00DB6276">
      <w:pPr>
        <w:spacing w:after="0" w:line="240" w:lineRule="auto"/>
      </w:pPr>
      <w:r>
        <w:separator/>
      </w:r>
    </w:p>
  </w:footnote>
  <w:footnote w:type="continuationSeparator" w:id="0">
    <w:p w:rsidR="005A4881" w:rsidRDefault="005A4881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80386"/>
    <w:rsid w:val="005A4881"/>
    <w:rsid w:val="005C4F93"/>
    <w:rsid w:val="006150A8"/>
    <w:rsid w:val="00634A5F"/>
    <w:rsid w:val="00687FF6"/>
    <w:rsid w:val="006D10CF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77888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CE681C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5B9F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2659</Characters>
  <Application>Microsoft Office Word</Application>
  <DocSecurity>0</DocSecurity>
  <Lines>88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Geoff Mitchell</cp:lastModifiedBy>
  <cp:revision>2</cp:revision>
  <dcterms:created xsi:type="dcterms:W3CDTF">2018-03-04T23:19:00Z</dcterms:created>
  <dcterms:modified xsi:type="dcterms:W3CDTF">2018-03-04T23:19:00Z</dcterms:modified>
</cp:coreProperties>
</file>