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FA" w:rsidRDefault="00E969FA" w:rsidP="00E969FA">
      <w:pPr>
        <w:spacing w:after="0"/>
        <w:rPr>
          <w:rFonts w:ascii="Arial" w:hAnsi="Arial" w:cs="Arial"/>
        </w:rPr>
      </w:pPr>
    </w:p>
    <w:p w:rsidR="00760C54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  <w:r w:rsidR="00760C54">
        <w:rPr>
          <w:rFonts w:ascii="Arial" w:hAnsi="Arial" w:cs="Arial"/>
          <w:b/>
        </w:rPr>
        <w:t xml:space="preserve"> </w:t>
      </w:r>
      <w:r w:rsidR="00760C54" w:rsidRPr="00760C54">
        <w:rPr>
          <w:rFonts w:ascii="Arial" w:hAnsi="Arial" w:cs="Arial"/>
          <w:b/>
        </w:rPr>
        <w:t xml:space="preserve"> </w:t>
      </w:r>
    </w:p>
    <w:p w:rsidR="005C4F93" w:rsidRPr="00426BC7" w:rsidRDefault="00426BC7" w:rsidP="00426BC7">
      <w:pPr>
        <w:spacing w:after="0" w:line="240" w:lineRule="auto"/>
        <w:rPr>
          <w:rFonts w:ascii="Calibri Light" w:eastAsia="Arial,SimSun" w:hAnsi="Calibri Light"/>
          <w:noProof/>
          <w:sz w:val="24"/>
          <w:szCs w:val="28"/>
          <w:lang w:val="en-GB"/>
        </w:rPr>
      </w:pPr>
      <w:r w:rsidRPr="00426BC7">
        <w:rPr>
          <w:rFonts w:ascii="Calibri Light" w:eastAsia="Arial,SimSun" w:hAnsi="Calibri Light"/>
          <w:noProof/>
          <w:sz w:val="24"/>
          <w:szCs w:val="28"/>
          <w:lang w:val="en-GB"/>
        </w:rPr>
        <w:t>External validation and comparison of four cardiovascular risk prediction models using data from an Australian population-based cohort study (AusDiab)</w:t>
      </w:r>
    </w:p>
    <w:p w:rsidR="00426BC7" w:rsidRPr="005C4F93" w:rsidRDefault="00426BC7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426BC7" w:rsidRPr="00890C47" w:rsidRDefault="00426BC7" w:rsidP="00426BC7">
      <w:pPr>
        <w:spacing w:after="0" w:line="240" w:lineRule="auto"/>
        <w:rPr>
          <w:rFonts w:ascii="Calibri Light" w:eastAsia="Arial,SimSun" w:hAnsi="Calibri Light"/>
          <w:sz w:val="24"/>
          <w:szCs w:val="28"/>
          <w:vertAlign w:val="superscript"/>
          <w:lang w:val="en-GB"/>
        </w:rPr>
      </w:pPr>
      <w:r w:rsidRPr="00890C47">
        <w:rPr>
          <w:rFonts w:ascii="Calibri Light" w:eastAsia="Arial,SimSun" w:hAnsi="Calibri Light"/>
          <w:noProof/>
          <w:sz w:val="24"/>
          <w:szCs w:val="28"/>
          <w:lang w:val="en-GB"/>
        </w:rPr>
        <w:t>Loai</w:t>
      </w:r>
      <w:r w:rsidRPr="00890C47">
        <w:rPr>
          <w:rFonts w:ascii="Calibri Light" w:eastAsia="Arial,SimSun" w:hAnsi="Calibri Light"/>
          <w:sz w:val="24"/>
          <w:szCs w:val="28"/>
          <w:lang w:val="en-GB"/>
        </w:rPr>
        <w:t xml:space="preserve"> Albarqouni, Jenny Doust, Dianna Magliano, Paul Glasziou</w:t>
      </w:r>
    </w:p>
    <w:p w:rsidR="00760C54" w:rsidRPr="00426BC7" w:rsidRDefault="00760C54" w:rsidP="00426BC7">
      <w:pPr>
        <w:spacing w:after="0" w:line="240" w:lineRule="auto"/>
        <w:rPr>
          <w:rFonts w:ascii="Calibri Light" w:eastAsia="Arial,SimSun" w:hAnsi="Calibri Light"/>
          <w:noProof/>
          <w:sz w:val="24"/>
          <w:szCs w:val="28"/>
          <w:lang w:val="en-GB"/>
        </w:rPr>
      </w:pPr>
      <w:r w:rsidRPr="00426BC7">
        <w:rPr>
          <w:rFonts w:ascii="Calibri Light" w:eastAsia="Arial,SimSun" w:hAnsi="Calibri Light"/>
          <w:noProof/>
          <w:sz w:val="24"/>
          <w:szCs w:val="28"/>
          <w:lang w:val="en-GB"/>
        </w:rPr>
        <w:t>Centre for Research in Evidence-Based Practice (CREBP), Bond University, Gold Coast, Australia</w:t>
      </w: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Default="00426BC7" w:rsidP="00E969FA">
      <w:pPr>
        <w:pStyle w:val="NoSpacing"/>
        <w:rPr>
          <w:rFonts w:ascii="Calibri Light" w:hAnsi="Calibri Light" w:cs="Calibri Light"/>
          <w:bCs/>
          <w:lang w:val="en-GB"/>
        </w:rPr>
      </w:pPr>
      <w:r>
        <w:rPr>
          <w:rFonts w:ascii="Calibri Light" w:hAnsi="Calibri Light" w:cs="Calibri Light"/>
          <w:bCs/>
          <w:lang w:val="en-GB"/>
        </w:rPr>
        <w:t>C</w:t>
      </w:r>
      <w:r w:rsidRPr="006E5F09">
        <w:rPr>
          <w:rFonts w:ascii="Calibri Light" w:hAnsi="Calibri Light" w:cs="Calibri Light"/>
          <w:bCs/>
          <w:lang w:val="en-GB"/>
        </w:rPr>
        <w:t xml:space="preserve">linicians need accurate and reliable tools to help them identify individuals who are at an increased risk of a cardiovascular </w:t>
      </w:r>
      <w:r>
        <w:rPr>
          <w:rFonts w:ascii="Calibri Light" w:hAnsi="Calibri Light" w:cs="Calibri Light"/>
          <w:bCs/>
          <w:lang w:val="en-GB"/>
        </w:rPr>
        <w:t xml:space="preserve">(CVD) </w:t>
      </w:r>
      <w:r w:rsidRPr="006E5F09">
        <w:rPr>
          <w:rFonts w:ascii="Calibri Light" w:hAnsi="Calibri Light" w:cs="Calibri Light"/>
          <w:bCs/>
          <w:lang w:val="en-GB"/>
        </w:rPr>
        <w:t>event</w:t>
      </w:r>
      <w:r>
        <w:rPr>
          <w:rFonts w:ascii="Calibri Light" w:hAnsi="Calibri Light" w:cs="Calibri Light"/>
          <w:bCs/>
          <w:lang w:val="en-GB"/>
        </w:rPr>
        <w:t xml:space="preserve">. </w:t>
      </w:r>
      <w:r w:rsidRPr="00B25416">
        <w:rPr>
          <w:rFonts w:ascii="Calibri Light" w:hAnsi="Calibri Light" w:cs="Calibri Light"/>
          <w:bCs/>
          <w:lang w:val="en-GB"/>
        </w:rPr>
        <w:t xml:space="preserve">The </w:t>
      </w:r>
      <w:r>
        <w:rPr>
          <w:rFonts w:ascii="Calibri Light" w:hAnsi="Calibri Light" w:cs="Calibri Light"/>
          <w:bCs/>
          <w:lang w:val="en-GB"/>
        </w:rPr>
        <w:t>performance</w:t>
      </w:r>
      <w:r w:rsidRPr="00B25416">
        <w:rPr>
          <w:rFonts w:ascii="Calibri Light" w:hAnsi="Calibri Light" w:cs="Calibri Light"/>
          <w:bCs/>
          <w:lang w:val="en-GB"/>
        </w:rPr>
        <w:t xml:space="preserve"> of the 2013 American College of Cardiology/American Heart Association (ACC/AHA) Pooled Cohort Risk Equation for</w:t>
      </w:r>
      <w:r>
        <w:rPr>
          <w:rFonts w:ascii="Calibri Light" w:hAnsi="Calibri Light" w:cs="Calibri Light"/>
          <w:bCs/>
          <w:lang w:val="en-GB"/>
        </w:rPr>
        <w:t xml:space="preserve"> predicting </w:t>
      </w:r>
      <w:r w:rsidRPr="00B25416">
        <w:rPr>
          <w:rFonts w:ascii="Calibri Light" w:hAnsi="Calibri Light" w:cs="Calibri Light"/>
          <w:bCs/>
          <w:lang w:val="en-GB"/>
        </w:rPr>
        <w:t xml:space="preserve">atherosclerotic cardiovascular disease (ASCVD) events in </w:t>
      </w:r>
      <w:r>
        <w:rPr>
          <w:rFonts w:ascii="Calibri Light" w:hAnsi="Calibri Light" w:cs="Calibri Light"/>
          <w:bCs/>
          <w:lang w:val="en-GB"/>
        </w:rPr>
        <w:t>Australian</w:t>
      </w:r>
      <w:r w:rsidRPr="00B25416">
        <w:rPr>
          <w:rFonts w:ascii="Calibri Light" w:hAnsi="Calibri Light" w:cs="Calibri Light"/>
          <w:bCs/>
          <w:lang w:val="en-GB"/>
        </w:rPr>
        <w:t xml:space="preserve"> </w:t>
      </w:r>
      <w:r>
        <w:rPr>
          <w:rFonts w:ascii="Calibri Light" w:hAnsi="Calibri Light" w:cs="Calibri Light"/>
          <w:bCs/>
          <w:lang w:val="en-GB"/>
        </w:rPr>
        <w:t>population has not been investigated</w:t>
      </w:r>
      <w:r w:rsidRPr="00B25416">
        <w:rPr>
          <w:rFonts w:ascii="Calibri Light" w:hAnsi="Calibri Light" w:cs="Calibri Light"/>
          <w:bCs/>
          <w:lang w:val="en-GB"/>
        </w:rPr>
        <w:t>.</w:t>
      </w:r>
    </w:p>
    <w:p w:rsidR="00426BC7" w:rsidRPr="003F534D" w:rsidRDefault="00426BC7" w:rsidP="00E969FA">
      <w:pPr>
        <w:pStyle w:val="NoSpacing"/>
        <w:rPr>
          <w:rFonts w:ascii="Arial" w:hAnsi="Arial" w:cs="Arial"/>
        </w:rPr>
      </w:pPr>
    </w:p>
    <w:p w:rsidR="00E969FA" w:rsidRPr="00760C54" w:rsidRDefault="00E969FA" w:rsidP="00760C54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Default="00426BC7" w:rsidP="00E969FA">
      <w:pPr>
        <w:pStyle w:val="NoSpacing"/>
        <w:rPr>
          <w:rFonts w:ascii="Calibri Light" w:hAnsi="Calibri Light" w:cs="Calibri Light"/>
          <w:bCs/>
          <w:lang w:val="en-GB"/>
        </w:rPr>
      </w:pPr>
      <w:r w:rsidRPr="006E5F09">
        <w:rPr>
          <w:rFonts w:ascii="Calibri Light" w:hAnsi="Calibri Light" w:cs="Calibri Light"/>
          <w:bCs/>
          <w:lang w:val="en-GB"/>
        </w:rPr>
        <w:t>We evaluated the performance (i.e. calibration and discrimination) of the ASCVD Pooled Cohort Risk Equation and compared it to the performance of three commonly used Framingham-based CVD risk prediction scores</w:t>
      </w:r>
      <w:r>
        <w:rPr>
          <w:rFonts w:ascii="Calibri Light" w:hAnsi="Calibri Light" w:cs="Calibri Light"/>
          <w:bCs/>
          <w:lang w:val="en-GB"/>
        </w:rPr>
        <w:t>.</w:t>
      </w:r>
    </w:p>
    <w:p w:rsidR="00426BC7" w:rsidRPr="003F534D" w:rsidRDefault="00426BC7" w:rsidP="00E969FA">
      <w:pPr>
        <w:pStyle w:val="NoSpacing"/>
        <w:rPr>
          <w:rFonts w:ascii="Arial" w:hAnsi="Arial" w:cs="Arial"/>
        </w:rPr>
      </w:pPr>
    </w:p>
    <w:p w:rsidR="00426BC7" w:rsidRPr="00426BC7" w:rsidRDefault="00E969FA" w:rsidP="00426BC7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  <w:r w:rsidR="00426BC7">
        <w:rPr>
          <w:rFonts w:ascii="Arial" w:hAnsi="Arial" w:cs="Arial"/>
          <w:b/>
        </w:rPr>
        <w:br/>
      </w:r>
      <w:r w:rsidR="00426BC7">
        <w:rPr>
          <w:rFonts w:ascii="Calibri Light" w:hAnsi="Calibri Light" w:cs="Calibri Light"/>
          <w:bCs/>
          <w:lang w:val="en-GB"/>
        </w:rPr>
        <w:t xml:space="preserve">We included </w:t>
      </w:r>
      <w:r w:rsidR="00426BC7" w:rsidRPr="00A05C67">
        <w:rPr>
          <w:rFonts w:ascii="Calibri Light" w:hAnsi="Calibri Light" w:cs="Calibri Light"/>
          <w:bCs/>
          <w:lang w:val="en-GB"/>
        </w:rPr>
        <w:t xml:space="preserve">4621 </w:t>
      </w:r>
      <w:r w:rsidR="00426BC7">
        <w:rPr>
          <w:rFonts w:ascii="Calibri Light" w:hAnsi="Calibri Light" w:cs="Calibri Light"/>
          <w:bCs/>
          <w:lang w:val="en-GB"/>
        </w:rPr>
        <w:t xml:space="preserve">adults aged 35 to 74 years enrolled in the </w:t>
      </w:r>
      <w:r w:rsidR="00426BC7" w:rsidRPr="00B25416">
        <w:rPr>
          <w:rFonts w:ascii="Calibri Light" w:hAnsi="Calibri Light" w:cs="Calibri Light"/>
          <w:bCs/>
          <w:lang w:val="en-GB"/>
        </w:rPr>
        <w:t xml:space="preserve">Australian Diabetes, Obesity and Lifestyle </w:t>
      </w:r>
      <w:r w:rsidR="00426BC7">
        <w:rPr>
          <w:rFonts w:ascii="Calibri Light" w:hAnsi="Calibri Light" w:cs="Calibri Light"/>
          <w:bCs/>
          <w:lang w:val="en-GB"/>
        </w:rPr>
        <w:t xml:space="preserve">(AusDiab) </w:t>
      </w:r>
      <w:r w:rsidR="00426BC7" w:rsidRPr="00B25416">
        <w:rPr>
          <w:rFonts w:ascii="Calibri Light" w:hAnsi="Calibri Light" w:cs="Calibri Light"/>
          <w:bCs/>
          <w:lang w:val="en-GB"/>
        </w:rPr>
        <w:t>study</w:t>
      </w:r>
      <w:r w:rsidR="00426BC7" w:rsidRPr="006E5F09">
        <w:rPr>
          <w:rFonts w:ascii="Calibri Light" w:hAnsi="Calibri Light" w:cs="Calibri Light"/>
          <w:bCs/>
          <w:lang w:val="en-GB"/>
        </w:rPr>
        <w:t xml:space="preserve"> </w:t>
      </w:r>
      <w:r w:rsidR="00426BC7">
        <w:rPr>
          <w:rFonts w:ascii="Calibri Light" w:hAnsi="Calibri Light" w:cs="Calibri Light"/>
          <w:bCs/>
          <w:lang w:val="en-GB"/>
        </w:rPr>
        <w:t xml:space="preserve">and followed up through November 2011 (with a </w:t>
      </w:r>
      <w:r w:rsidR="00426BC7" w:rsidRPr="00A05C67">
        <w:rPr>
          <w:rFonts w:ascii="Calibri Light" w:hAnsi="Calibri Light" w:cs="Calibri Light"/>
          <w:bCs/>
          <w:lang w:val="en-GB"/>
        </w:rPr>
        <w:t xml:space="preserve">median follow-up </w:t>
      </w:r>
      <w:r w:rsidR="00426BC7">
        <w:rPr>
          <w:rFonts w:ascii="Calibri Light" w:hAnsi="Calibri Light" w:cs="Calibri Light"/>
          <w:bCs/>
          <w:lang w:val="en-GB"/>
        </w:rPr>
        <w:t>of</w:t>
      </w:r>
      <w:r w:rsidR="00426BC7" w:rsidRPr="00A05C67">
        <w:rPr>
          <w:rFonts w:ascii="Calibri Light" w:hAnsi="Calibri Light" w:cs="Calibri Light"/>
          <w:bCs/>
          <w:lang w:val="en-GB"/>
        </w:rPr>
        <w:t xml:space="preserve"> 11.1</w:t>
      </w:r>
      <w:r w:rsidR="00426BC7">
        <w:rPr>
          <w:rFonts w:ascii="Calibri Light" w:hAnsi="Calibri Light" w:cs="Calibri Light"/>
          <w:bCs/>
          <w:lang w:val="en-GB"/>
        </w:rPr>
        <w:t xml:space="preserve"> [10.7-11.6] </w:t>
      </w:r>
      <w:r w:rsidR="00426BC7" w:rsidRPr="00A05C67">
        <w:rPr>
          <w:rFonts w:ascii="Calibri Light" w:hAnsi="Calibri Light" w:cs="Calibri Light"/>
          <w:bCs/>
          <w:lang w:val="en-GB"/>
        </w:rPr>
        <w:t>years)</w:t>
      </w:r>
      <w:r w:rsidR="00426BC7">
        <w:rPr>
          <w:rFonts w:ascii="Calibri Light" w:hAnsi="Calibri Light" w:cs="Calibri Light"/>
          <w:bCs/>
          <w:lang w:val="en-GB"/>
        </w:rPr>
        <w:t xml:space="preserve">. </w:t>
      </w:r>
      <w:r w:rsidR="00426BC7" w:rsidRPr="00B862CF">
        <w:rPr>
          <w:rFonts w:ascii="Calibri Light" w:hAnsi="Calibri Light" w:cs="Calibri Light"/>
          <w:lang w:val="en-GB"/>
        </w:rPr>
        <w:t>We excluded participants</w:t>
      </w:r>
      <w:r w:rsidR="00426BC7">
        <w:rPr>
          <w:rFonts w:ascii="Calibri Light" w:hAnsi="Calibri Light" w:cs="Calibri Light"/>
          <w:lang w:val="en-GB"/>
        </w:rPr>
        <w:t xml:space="preserve"> who had previous CVD at baseline</w:t>
      </w:r>
      <w:r w:rsidR="00426BC7" w:rsidRPr="000E3569">
        <w:t xml:space="preserve"> </w:t>
      </w:r>
      <w:r w:rsidR="00426BC7">
        <w:rPr>
          <w:rFonts w:ascii="Calibri Light" w:hAnsi="Calibri Light" w:cs="Calibri Light"/>
          <w:lang w:val="en-GB"/>
        </w:rPr>
        <w:t xml:space="preserve">or </w:t>
      </w:r>
      <w:r w:rsidR="00426BC7" w:rsidRPr="00B862CF">
        <w:rPr>
          <w:rFonts w:ascii="Calibri Light" w:hAnsi="Calibri Light" w:cs="Calibri Light"/>
          <w:lang w:val="en-GB"/>
        </w:rPr>
        <w:t>with missing data necessary for risk score calculations</w:t>
      </w:r>
      <w:r w:rsidR="00426BC7">
        <w:rPr>
          <w:rFonts w:ascii="Calibri Light" w:hAnsi="Calibri Light" w:cs="Calibri Light"/>
          <w:lang w:val="en-GB"/>
        </w:rPr>
        <w:t xml:space="preserve">. </w:t>
      </w:r>
      <w:r w:rsidR="00426BC7" w:rsidRPr="006E5F09">
        <w:rPr>
          <w:rFonts w:ascii="Calibri Light" w:hAnsi="Calibri Light" w:cs="Calibri Light"/>
          <w:bCs/>
          <w:lang w:val="en-GB"/>
        </w:rPr>
        <w:t xml:space="preserve">We applied </w:t>
      </w:r>
      <w:r w:rsidR="00426BC7">
        <w:rPr>
          <w:rFonts w:ascii="Calibri Light" w:hAnsi="Calibri Light" w:cs="Calibri Light"/>
          <w:bCs/>
          <w:lang w:val="en-GB"/>
        </w:rPr>
        <w:t xml:space="preserve">the four CVD risk prediction scores </w:t>
      </w:r>
      <w:r w:rsidR="00426BC7">
        <w:rPr>
          <w:rFonts w:ascii="Calibri Light" w:hAnsi="Calibri Light" w:cs="Calibri Light"/>
          <w:lang w:val="en-GB"/>
        </w:rPr>
        <w:t>(Anderson</w:t>
      </w:r>
      <w:r w:rsidR="00426BC7" w:rsidRPr="000E3569">
        <w:rPr>
          <w:rFonts w:ascii="Calibri Light" w:hAnsi="Calibri Light" w:cs="Calibri Light"/>
          <w:lang w:val="en-GB"/>
        </w:rPr>
        <w:t>, D’Agostino</w:t>
      </w:r>
      <w:r w:rsidR="00426BC7">
        <w:rPr>
          <w:rFonts w:ascii="Calibri Light" w:hAnsi="Calibri Light" w:cs="Calibri Light"/>
          <w:lang w:val="en-GB"/>
        </w:rPr>
        <w:t>, D’Agostino office-based</w:t>
      </w:r>
      <w:r w:rsidR="00426BC7" w:rsidRPr="000E3569">
        <w:rPr>
          <w:rFonts w:ascii="Calibri Light" w:hAnsi="Calibri Light" w:cs="Calibri Light"/>
          <w:lang w:val="en-GB"/>
        </w:rPr>
        <w:t xml:space="preserve">, and </w:t>
      </w:r>
      <w:r w:rsidR="00426BC7">
        <w:rPr>
          <w:rFonts w:ascii="Calibri Light" w:hAnsi="Calibri Light" w:cs="Calibri Light"/>
          <w:lang w:val="en-GB"/>
        </w:rPr>
        <w:t>ASCVD</w:t>
      </w:r>
      <w:r w:rsidR="00426BC7" w:rsidRPr="000E3569">
        <w:rPr>
          <w:rFonts w:ascii="Calibri Light" w:hAnsi="Calibri Light" w:cs="Calibri Light"/>
          <w:lang w:val="en-GB"/>
        </w:rPr>
        <w:t xml:space="preserve"> Pooled Cohort Risk)</w:t>
      </w:r>
      <w:r w:rsidR="00426BC7">
        <w:rPr>
          <w:rFonts w:ascii="Calibri Light" w:hAnsi="Calibri Light" w:cs="Calibri Light"/>
          <w:lang w:val="en-GB"/>
        </w:rPr>
        <w:t xml:space="preserve">. </w:t>
      </w:r>
      <w:r w:rsidR="00426BC7" w:rsidRPr="000E3569">
        <w:rPr>
          <w:rFonts w:ascii="Calibri Light" w:hAnsi="Calibri Light" w:cs="Calibri Light"/>
          <w:lang w:val="en-GB"/>
        </w:rPr>
        <w:t xml:space="preserve">We calculated </w:t>
      </w:r>
      <w:r w:rsidR="00426BC7">
        <w:rPr>
          <w:rFonts w:ascii="Calibri Light" w:hAnsi="Calibri Light" w:cs="Calibri Light"/>
          <w:lang w:val="en-GB"/>
        </w:rPr>
        <w:t>the</w:t>
      </w:r>
      <w:r w:rsidR="00426BC7" w:rsidRPr="000E3569">
        <w:rPr>
          <w:rFonts w:ascii="Calibri Light" w:hAnsi="Calibri Light" w:cs="Calibri Light"/>
          <w:lang w:val="en-GB"/>
        </w:rPr>
        <w:t xml:space="preserve"> </w:t>
      </w:r>
      <w:r w:rsidR="00426BC7">
        <w:rPr>
          <w:rFonts w:ascii="Calibri Light" w:hAnsi="Calibri Light" w:cs="Calibri Light"/>
          <w:lang w:val="en-GB"/>
        </w:rPr>
        <w:t xml:space="preserve">predicted and observed adjudicated </w:t>
      </w:r>
      <w:r w:rsidR="00426BC7" w:rsidRPr="000E3569">
        <w:rPr>
          <w:rFonts w:ascii="Calibri Light" w:hAnsi="Calibri Light" w:cs="Calibri Light"/>
          <w:lang w:val="en-GB"/>
        </w:rPr>
        <w:t>CVD risk</w:t>
      </w:r>
      <w:r w:rsidR="00426BC7">
        <w:rPr>
          <w:rFonts w:ascii="Calibri Light" w:hAnsi="Calibri Light" w:cs="Calibri Light"/>
          <w:lang w:val="en-GB"/>
        </w:rPr>
        <w:t xml:space="preserve"> at 10 years. </w:t>
      </w:r>
    </w:p>
    <w:p w:rsidR="00E969FA" w:rsidRPr="00426BC7" w:rsidRDefault="00E969FA" w:rsidP="00E969FA">
      <w:pPr>
        <w:pStyle w:val="NoSpacing"/>
        <w:rPr>
          <w:rFonts w:ascii="Arial" w:hAnsi="Arial" w:cs="Arial"/>
          <w:lang w:val="en-GB"/>
        </w:rPr>
      </w:pPr>
    </w:p>
    <w:p w:rsidR="00426BC7" w:rsidRPr="00426BC7" w:rsidRDefault="00E969FA" w:rsidP="00426BC7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  <w:r w:rsidR="00426BC7">
        <w:rPr>
          <w:rFonts w:ascii="Arial" w:hAnsi="Arial" w:cs="Arial"/>
          <w:b/>
        </w:rPr>
        <w:br/>
      </w:r>
      <w:r w:rsidR="00426BC7">
        <w:rPr>
          <w:rFonts w:ascii="Calibri Light" w:hAnsi="Calibri Light" w:cs="Calibri Light"/>
          <w:bCs/>
          <w:lang w:val="en-GB"/>
        </w:rPr>
        <w:t xml:space="preserve">There were 193 </w:t>
      </w:r>
      <w:r w:rsidR="00426BC7">
        <w:rPr>
          <w:rFonts w:ascii="Calibri Light" w:hAnsi="Calibri Light" w:cs="Calibri Light"/>
          <w:lang w:val="en-GB"/>
        </w:rPr>
        <w:t xml:space="preserve">adjudicated CV events during the follow up period. Discrimination and calibration statistics were better with </w:t>
      </w:r>
      <w:r w:rsidR="00426BC7" w:rsidRPr="006741B0">
        <w:rPr>
          <w:rFonts w:ascii="Calibri Light" w:hAnsi="Calibri Light" w:cs="Calibri Light"/>
          <w:lang w:val="en-GB"/>
        </w:rPr>
        <w:t>ASCVD Pooled Cohort Risk</w:t>
      </w:r>
      <w:r w:rsidR="00426BC7">
        <w:rPr>
          <w:rFonts w:ascii="Calibri Light" w:hAnsi="Calibri Light" w:cs="Calibri Light"/>
          <w:lang w:val="en-GB"/>
        </w:rPr>
        <w:t xml:space="preserve"> compared to the three Framingham-based scores both in men and women. However, </w:t>
      </w:r>
      <w:r w:rsidR="00426BC7">
        <w:rPr>
          <w:rFonts w:ascii="Calibri Light" w:hAnsi="Calibri Light" w:cs="Calibri Light"/>
          <w:bCs/>
          <w:iCs/>
          <w:lang w:val="en-GB"/>
        </w:rPr>
        <w:t>al</w:t>
      </w:r>
      <w:r w:rsidR="00426BC7" w:rsidRPr="00B862CF">
        <w:rPr>
          <w:rFonts w:ascii="Calibri Light" w:hAnsi="Calibri Light" w:cs="Calibri Light"/>
          <w:bCs/>
          <w:iCs/>
          <w:lang w:val="en-GB"/>
        </w:rPr>
        <w:t xml:space="preserve">l four CVD risk models overestimate CV risk predominantly in participants with higher risk. </w:t>
      </w:r>
      <w:r w:rsidR="00426BC7" w:rsidRPr="00A05C67">
        <w:rPr>
          <w:rFonts w:ascii="Calibri Light" w:hAnsi="Calibri Light" w:cs="Calibri Light"/>
          <w:bCs/>
          <w:lang w:val="en-GB"/>
        </w:rPr>
        <w:t xml:space="preserve">In addition, using the </w:t>
      </w:r>
      <w:r w:rsidR="00426BC7" w:rsidRPr="006741B0">
        <w:rPr>
          <w:rFonts w:ascii="Calibri Light" w:hAnsi="Calibri Light" w:cs="Calibri Light"/>
          <w:lang w:val="en-GB"/>
        </w:rPr>
        <w:t>ASCVD Pooled Cohort Risk</w:t>
      </w:r>
      <w:r w:rsidR="00426BC7">
        <w:rPr>
          <w:rFonts w:ascii="Calibri Light" w:hAnsi="Calibri Light" w:cs="Calibri Light"/>
          <w:lang w:val="en-GB"/>
        </w:rPr>
        <w:t xml:space="preserve"> </w:t>
      </w:r>
      <w:r w:rsidR="00426BC7" w:rsidRPr="00A05C67">
        <w:rPr>
          <w:rFonts w:ascii="Calibri Light" w:hAnsi="Calibri Light" w:cs="Calibri Light"/>
          <w:bCs/>
          <w:lang w:val="en-GB"/>
        </w:rPr>
        <w:t>with 7.5% risk threshold to identify high-risk individuals is associated with a net increase of 13.9% and 29.2% in women and men that would be identified as high-risk using Anderson Framingham with 20% risk threshold, whereas only 9% and 8.5% of those newly identified as high risk have actually experienced a CV event in 10 years respectively</w:t>
      </w:r>
      <w:r w:rsidR="00426BC7">
        <w:rPr>
          <w:rFonts w:ascii="Calibri Light" w:hAnsi="Calibri Light" w:cs="Calibri Light"/>
          <w:bCs/>
          <w:lang w:val="en-GB"/>
        </w:rPr>
        <w:t>.</w:t>
      </w:r>
    </w:p>
    <w:p w:rsidR="00E969FA" w:rsidRPr="00426BC7" w:rsidRDefault="00E969FA" w:rsidP="00E969FA">
      <w:pPr>
        <w:pStyle w:val="NoSpacing"/>
        <w:rPr>
          <w:rFonts w:ascii="Arial" w:hAnsi="Arial" w:cs="Arial"/>
          <w:lang w:val="en-GB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C66151" w:rsidRDefault="00C66151" w:rsidP="00E969FA">
      <w:pPr>
        <w:pStyle w:val="NoSpacing"/>
        <w:rPr>
          <w:rFonts w:ascii="Calibri Light" w:hAnsi="Calibri Light" w:cs="Calibri Light"/>
          <w:bCs/>
          <w:iCs/>
          <w:lang w:val="en-GB"/>
        </w:rPr>
      </w:pPr>
      <w:r w:rsidRPr="00C66151">
        <w:rPr>
          <w:rFonts w:ascii="Calibri Light" w:hAnsi="Calibri Light" w:cs="Calibri Light"/>
          <w:bCs/>
          <w:iCs/>
          <w:lang w:val="en-GB"/>
        </w:rPr>
        <w:t xml:space="preserve">The </w:t>
      </w:r>
      <w:r>
        <w:rPr>
          <w:rFonts w:ascii="Calibri Light" w:hAnsi="Calibri Light" w:cs="Calibri Light"/>
          <w:bCs/>
          <w:iCs/>
          <w:lang w:val="en-GB"/>
        </w:rPr>
        <w:t xml:space="preserve">new </w:t>
      </w:r>
      <w:r w:rsidRPr="00B25416">
        <w:rPr>
          <w:rFonts w:ascii="Calibri Light" w:hAnsi="Calibri Light" w:cs="Calibri Light"/>
          <w:bCs/>
          <w:lang w:val="en-GB"/>
        </w:rPr>
        <w:t>ACC/AHA</w:t>
      </w:r>
      <w:r>
        <w:rPr>
          <w:rFonts w:ascii="Calibri Light" w:hAnsi="Calibri Light" w:cs="Calibri Light"/>
          <w:bCs/>
          <w:lang w:val="en-GB"/>
        </w:rPr>
        <w:t xml:space="preserve"> CV risk score </w:t>
      </w:r>
      <w:bookmarkStart w:id="0" w:name="_GoBack"/>
      <w:r>
        <w:rPr>
          <w:rFonts w:ascii="Calibri Light" w:hAnsi="Calibri Light" w:cs="Calibri Light"/>
          <w:bCs/>
          <w:lang w:val="en-GB"/>
        </w:rPr>
        <w:t xml:space="preserve">outperformed </w:t>
      </w:r>
      <w:bookmarkEnd w:id="0"/>
      <w:r>
        <w:rPr>
          <w:rFonts w:ascii="Calibri Light" w:hAnsi="Calibri Light" w:cs="Calibri Light"/>
          <w:bCs/>
          <w:lang w:val="en-GB"/>
        </w:rPr>
        <w:t xml:space="preserve">the other three Framingham-based CV risk scores in Australian contemporary population. </w:t>
      </w:r>
    </w:p>
    <w:p w:rsidR="00C66151" w:rsidRPr="00C66151" w:rsidRDefault="00C66151" w:rsidP="00E969FA">
      <w:pPr>
        <w:pStyle w:val="NoSpacing"/>
        <w:rPr>
          <w:rFonts w:ascii="Arial" w:hAnsi="Arial" w:cs="Arial"/>
          <w:lang w:val="en-GB"/>
        </w:rPr>
      </w:pPr>
    </w:p>
    <w:p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p w:rsidR="00192711" w:rsidRDefault="00192711" w:rsidP="00A364F0">
      <w:pPr>
        <w:spacing w:after="0"/>
        <w:rPr>
          <w:rFonts w:ascii="Arial" w:hAnsi="Arial" w:cs="Arial"/>
        </w:rPr>
      </w:pPr>
    </w:p>
    <w:p w:rsidR="00192711" w:rsidRPr="00192711" w:rsidRDefault="00192711" w:rsidP="00192711">
      <w:pPr>
        <w:pStyle w:val="NoSpacing"/>
        <w:rPr>
          <w:rFonts w:ascii="Arial" w:hAnsi="Arial" w:cs="Arial"/>
        </w:rPr>
      </w:pPr>
    </w:p>
    <w:sectPr w:rsidR="00192711" w:rsidRPr="00192711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236" w:rsidRDefault="00321236" w:rsidP="00DB6276">
      <w:pPr>
        <w:spacing w:after="0" w:line="240" w:lineRule="auto"/>
      </w:pPr>
      <w:r>
        <w:separator/>
      </w:r>
    </w:p>
  </w:endnote>
  <w:endnote w:type="continuationSeparator" w:id="0">
    <w:p w:rsidR="00321236" w:rsidRDefault="00321236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SimSun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236" w:rsidRDefault="00321236" w:rsidP="00DB6276">
      <w:pPr>
        <w:spacing w:after="0" w:line="240" w:lineRule="auto"/>
      </w:pPr>
      <w:r>
        <w:separator/>
      </w:r>
    </w:p>
  </w:footnote>
  <w:footnote w:type="continuationSeparator" w:id="0">
    <w:p w:rsidR="00321236" w:rsidRDefault="00321236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92711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1236"/>
    <w:rsid w:val="00323232"/>
    <w:rsid w:val="003319CA"/>
    <w:rsid w:val="0037377D"/>
    <w:rsid w:val="003A5C47"/>
    <w:rsid w:val="003B56C9"/>
    <w:rsid w:val="003C0B6D"/>
    <w:rsid w:val="003D7F5C"/>
    <w:rsid w:val="00426BC7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340C2"/>
    <w:rsid w:val="00760C54"/>
    <w:rsid w:val="007A3219"/>
    <w:rsid w:val="007A4975"/>
    <w:rsid w:val="008426B4"/>
    <w:rsid w:val="00866BFD"/>
    <w:rsid w:val="008A096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3565"/>
    <w:rsid w:val="00C3505E"/>
    <w:rsid w:val="00C4224F"/>
    <w:rsid w:val="00C426BE"/>
    <w:rsid w:val="00C66151"/>
    <w:rsid w:val="00CA4098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9F927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Loai Albarqouni</cp:lastModifiedBy>
  <cp:revision>3</cp:revision>
  <dcterms:created xsi:type="dcterms:W3CDTF">2018-03-03T22:13:00Z</dcterms:created>
  <dcterms:modified xsi:type="dcterms:W3CDTF">2018-03-03T22:40:00Z</dcterms:modified>
</cp:coreProperties>
</file>