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C457" w14:textId="77777777"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15 minute, 30 minute, 1 hour oral session</w:t>
      </w:r>
      <w:r>
        <w:rPr>
          <w:rFonts w:ascii="Arial" w:hAnsi="Arial" w:cs="Arial"/>
          <w:b/>
          <w:sz w:val="28"/>
          <w:szCs w:val="28"/>
        </w:rPr>
        <w:t xml:space="preserve"> or poster</w:t>
      </w:r>
    </w:p>
    <w:p w14:paraId="636DEF6E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0B874726" w14:textId="77777777" w:rsidR="005C4F93" w:rsidRPr="007F601E" w:rsidRDefault="005C4F93" w:rsidP="00E969FA">
      <w:pPr>
        <w:spacing w:after="0"/>
        <w:rPr>
          <w:rFonts w:ascii="Arial" w:hAnsi="Arial" w:cs="Arial"/>
        </w:rPr>
      </w:pPr>
      <w:r w:rsidRPr="005C4F93">
        <w:rPr>
          <w:rFonts w:ascii="Arial" w:hAnsi="Arial" w:cs="Arial"/>
          <w:b/>
        </w:rPr>
        <w:t>Title</w:t>
      </w:r>
      <w:r w:rsidR="007F601E">
        <w:rPr>
          <w:rFonts w:ascii="Arial" w:hAnsi="Arial" w:cs="Arial"/>
          <w:b/>
        </w:rPr>
        <w:t xml:space="preserve">: </w:t>
      </w:r>
      <w:r w:rsidR="007F601E" w:rsidRPr="007F601E">
        <w:rPr>
          <w:rFonts w:ascii="Arial" w:hAnsi="Arial" w:cs="Arial"/>
          <w:lang w:val="en-US"/>
        </w:rPr>
        <w:t>How do GPs utilise the electronic medical record and guidelines to make decisions about antibiotic</w:t>
      </w:r>
      <w:r w:rsidR="009F51DE">
        <w:rPr>
          <w:rFonts w:ascii="Arial" w:hAnsi="Arial" w:cs="Arial"/>
          <w:lang w:val="en-US"/>
        </w:rPr>
        <w:t xml:space="preserve"> prescribing</w:t>
      </w:r>
      <w:r w:rsidR="007F601E" w:rsidRPr="007F601E">
        <w:rPr>
          <w:rFonts w:ascii="Arial" w:hAnsi="Arial" w:cs="Arial"/>
          <w:lang w:val="en-US"/>
        </w:rPr>
        <w:t>?</w:t>
      </w:r>
    </w:p>
    <w:p w14:paraId="5FC13DC4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136B748D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1C6311BA" w14:textId="39B0A0CC" w:rsidR="005C4F93" w:rsidRDefault="00634A5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Author and affiliations</w:t>
      </w:r>
      <w:r w:rsidR="007F601E">
        <w:rPr>
          <w:rFonts w:ascii="Arial" w:hAnsi="Arial" w:cs="Arial"/>
          <w:b/>
        </w:rPr>
        <w:t xml:space="preserve">: </w:t>
      </w:r>
      <w:r w:rsidR="00874930" w:rsidRPr="00874930">
        <w:rPr>
          <w:rFonts w:ascii="Arial" w:hAnsi="Arial" w:cs="Arial"/>
        </w:rPr>
        <w:t xml:space="preserve">Ms </w:t>
      </w:r>
      <w:r w:rsidR="007F601E" w:rsidRPr="007F601E">
        <w:rPr>
          <w:rFonts w:ascii="Arial" w:hAnsi="Arial" w:cs="Arial"/>
        </w:rPr>
        <w:t>Cassandra Roberts</w:t>
      </w:r>
      <w:r w:rsidR="002D7006">
        <w:rPr>
          <w:rFonts w:ascii="Arial" w:hAnsi="Arial" w:cs="Arial"/>
          <w:vertAlign w:val="superscript"/>
        </w:rPr>
        <w:t>1</w:t>
      </w:r>
      <w:r w:rsidR="007F601E" w:rsidRPr="007F601E">
        <w:rPr>
          <w:rFonts w:ascii="Arial" w:hAnsi="Arial" w:cs="Arial"/>
        </w:rPr>
        <w:t xml:space="preserve">, </w:t>
      </w:r>
      <w:r w:rsidR="00874930">
        <w:rPr>
          <w:rFonts w:ascii="Arial" w:hAnsi="Arial" w:cs="Arial"/>
        </w:rPr>
        <w:t xml:space="preserve">Ms </w:t>
      </w:r>
      <w:r w:rsidR="00F846CD">
        <w:rPr>
          <w:rFonts w:ascii="Arial" w:hAnsi="Arial" w:cs="Arial"/>
        </w:rPr>
        <w:t>Ruby Biezen</w:t>
      </w:r>
      <w:r w:rsidR="002D7006">
        <w:rPr>
          <w:rFonts w:ascii="Arial" w:hAnsi="Arial" w:cs="Arial"/>
          <w:vertAlign w:val="superscript"/>
        </w:rPr>
        <w:t>1</w:t>
      </w:r>
      <w:r w:rsidR="00095A1D">
        <w:rPr>
          <w:rFonts w:ascii="Arial" w:hAnsi="Arial" w:cs="Arial"/>
        </w:rPr>
        <w:t xml:space="preserve">, </w:t>
      </w:r>
      <w:r w:rsidR="007F1A8D">
        <w:rPr>
          <w:rFonts w:ascii="Arial" w:hAnsi="Arial" w:cs="Arial"/>
        </w:rPr>
        <w:t>A/</w:t>
      </w:r>
      <w:r w:rsidR="00874930">
        <w:rPr>
          <w:rFonts w:ascii="Arial" w:hAnsi="Arial" w:cs="Arial"/>
        </w:rPr>
        <w:t xml:space="preserve">Prof </w:t>
      </w:r>
      <w:r w:rsidR="003A1DC8">
        <w:rPr>
          <w:rFonts w:ascii="Arial" w:hAnsi="Arial" w:cs="Arial"/>
        </w:rPr>
        <w:t>Kirsty Buising</w:t>
      </w:r>
      <w:r w:rsidR="002D7006">
        <w:rPr>
          <w:rFonts w:ascii="Arial" w:hAnsi="Arial" w:cs="Arial"/>
          <w:vertAlign w:val="superscript"/>
        </w:rPr>
        <w:t>2</w:t>
      </w:r>
      <w:r w:rsidR="007C0CD6">
        <w:rPr>
          <w:rFonts w:ascii="Arial" w:hAnsi="Arial" w:cs="Arial"/>
          <w:vertAlign w:val="superscript"/>
        </w:rPr>
        <w:t>,3</w:t>
      </w:r>
      <w:r w:rsidR="003A1DC8">
        <w:rPr>
          <w:rFonts w:ascii="Arial" w:hAnsi="Arial" w:cs="Arial"/>
        </w:rPr>
        <w:t>,</w:t>
      </w:r>
      <w:r w:rsidR="00874930">
        <w:rPr>
          <w:rFonts w:ascii="Arial" w:hAnsi="Arial" w:cs="Arial"/>
        </w:rPr>
        <w:t xml:space="preserve"> Prof</w:t>
      </w:r>
      <w:r w:rsidR="00F846CD">
        <w:rPr>
          <w:rFonts w:ascii="Arial" w:hAnsi="Arial" w:cs="Arial"/>
        </w:rPr>
        <w:t xml:space="preserve"> Karin Thursky</w:t>
      </w:r>
      <w:r w:rsidR="002D7006">
        <w:rPr>
          <w:rFonts w:ascii="Arial" w:hAnsi="Arial" w:cs="Arial"/>
          <w:vertAlign w:val="superscript"/>
        </w:rPr>
        <w:t>2</w:t>
      </w:r>
      <w:r w:rsidR="007C0CD6">
        <w:rPr>
          <w:rFonts w:ascii="Arial" w:hAnsi="Arial" w:cs="Arial"/>
          <w:vertAlign w:val="superscript"/>
        </w:rPr>
        <w:t>,3</w:t>
      </w:r>
      <w:r w:rsidR="00F846CD">
        <w:rPr>
          <w:rFonts w:ascii="Arial" w:hAnsi="Arial" w:cs="Arial"/>
        </w:rPr>
        <w:t xml:space="preserve">, </w:t>
      </w:r>
      <w:r w:rsidR="00874930">
        <w:rPr>
          <w:rFonts w:ascii="Arial" w:hAnsi="Arial" w:cs="Arial"/>
        </w:rPr>
        <w:t xml:space="preserve">Dr </w:t>
      </w:r>
      <w:r w:rsidR="00F846CD">
        <w:rPr>
          <w:rFonts w:ascii="Arial" w:hAnsi="Arial" w:cs="Arial"/>
        </w:rPr>
        <w:t>Phyllis Lau</w:t>
      </w:r>
      <w:r w:rsidR="002D7006">
        <w:rPr>
          <w:rFonts w:ascii="Arial" w:hAnsi="Arial" w:cs="Arial"/>
          <w:vertAlign w:val="superscript"/>
        </w:rPr>
        <w:t>1</w:t>
      </w:r>
      <w:r w:rsidR="00F846CD">
        <w:rPr>
          <w:rFonts w:ascii="Arial" w:hAnsi="Arial" w:cs="Arial"/>
        </w:rPr>
        <w:t xml:space="preserve">, </w:t>
      </w:r>
      <w:r w:rsidR="007F1A8D">
        <w:rPr>
          <w:rFonts w:ascii="Arial" w:hAnsi="Arial" w:cs="Arial"/>
        </w:rPr>
        <w:t>A/</w:t>
      </w:r>
      <w:bookmarkStart w:id="0" w:name="_GoBack"/>
      <w:bookmarkEnd w:id="0"/>
      <w:r w:rsidR="002D7006">
        <w:rPr>
          <w:rFonts w:ascii="Arial" w:hAnsi="Arial" w:cs="Arial"/>
        </w:rPr>
        <w:t xml:space="preserve">Prof </w:t>
      </w:r>
      <w:r w:rsidR="009F51DE">
        <w:rPr>
          <w:rFonts w:ascii="Arial" w:hAnsi="Arial" w:cs="Arial"/>
        </w:rPr>
        <w:t>Douglas Boyle</w:t>
      </w:r>
      <w:r w:rsidR="002D7006">
        <w:rPr>
          <w:rFonts w:ascii="Arial" w:hAnsi="Arial" w:cs="Arial"/>
          <w:vertAlign w:val="superscript"/>
        </w:rPr>
        <w:t>1</w:t>
      </w:r>
      <w:r w:rsidR="009F51DE">
        <w:rPr>
          <w:rFonts w:ascii="Arial" w:hAnsi="Arial" w:cs="Arial"/>
        </w:rPr>
        <w:t xml:space="preserve">, </w:t>
      </w:r>
      <w:r w:rsidR="002D7006">
        <w:rPr>
          <w:rFonts w:ascii="Arial" w:hAnsi="Arial" w:cs="Arial"/>
        </w:rPr>
        <w:t xml:space="preserve">Dr </w:t>
      </w:r>
      <w:r w:rsidR="00F846CD">
        <w:rPr>
          <w:rFonts w:ascii="Arial" w:hAnsi="Arial" w:cs="Arial"/>
        </w:rPr>
        <w:t>Malcolm Clark</w:t>
      </w:r>
      <w:r w:rsidR="002D7006">
        <w:rPr>
          <w:rFonts w:ascii="Arial" w:hAnsi="Arial" w:cs="Arial"/>
          <w:vertAlign w:val="superscript"/>
        </w:rPr>
        <w:t>1</w:t>
      </w:r>
      <w:r w:rsidR="00F846CD">
        <w:rPr>
          <w:rFonts w:ascii="Arial" w:hAnsi="Arial" w:cs="Arial"/>
        </w:rPr>
        <w:t xml:space="preserve">, </w:t>
      </w:r>
      <w:r w:rsidR="002D7006">
        <w:rPr>
          <w:rFonts w:ascii="Arial" w:hAnsi="Arial" w:cs="Arial"/>
        </w:rPr>
        <w:t xml:space="preserve">Dr </w:t>
      </w:r>
      <w:r w:rsidR="007F601E" w:rsidRPr="007F601E">
        <w:rPr>
          <w:rFonts w:ascii="Arial" w:hAnsi="Arial" w:cs="Arial"/>
        </w:rPr>
        <w:t>Jo-Anne Manski-Nankervis</w:t>
      </w:r>
      <w:r w:rsidR="002D7006">
        <w:rPr>
          <w:rFonts w:ascii="Arial" w:hAnsi="Arial" w:cs="Arial"/>
          <w:vertAlign w:val="superscript"/>
        </w:rPr>
        <w:t>1</w:t>
      </w:r>
      <w:r w:rsidR="007F601E" w:rsidRPr="007F601E">
        <w:rPr>
          <w:rFonts w:ascii="Arial" w:hAnsi="Arial" w:cs="Arial"/>
        </w:rPr>
        <w:t xml:space="preserve"> </w:t>
      </w:r>
    </w:p>
    <w:p w14:paraId="1FABD182" w14:textId="77777777" w:rsidR="002D7006" w:rsidRDefault="002D7006" w:rsidP="00E969FA">
      <w:pPr>
        <w:spacing w:after="0"/>
        <w:rPr>
          <w:rFonts w:ascii="Arial" w:hAnsi="Arial" w:cs="Arial"/>
        </w:rPr>
      </w:pPr>
    </w:p>
    <w:p w14:paraId="1D911FE7" w14:textId="77777777" w:rsidR="002D7006" w:rsidRPr="002D7006" w:rsidRDefault="002D7006" w:rsidP="002D700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D7006">
        <w:rPr>
          <w:rFonts w:ascii="Arial" w:hAnsi="Arial" w:cs="Arial"/>
        </w:rPr>
        <w:t>Department of General Practice, University of Melbourne</w:t>
      </w:r>
    </w:p>
    <w:p w14:paraId="638192D2" w14:textId="77777777" w:rsidR="007C0CD6" w:rsidRDefault="002D7006" w:rsidP="002D700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D7006">
        <w:rPr>
          <w:rFonts w:ascii="Arial" w:hAnsi="Arial" w:cs="Arial"/>
        </w:rPr>
        <w:t>National Centre for Antimicrobial Stewardship at The Royal Melbourne Hospit</w:t>
      </w:r>
      <w:r w:rsidR="007C0CD6">
        <w:rPr>
          <w:rFonts w:ascii="Arial" w:hAnsi="Arial" w:cs="Arial"/>
        </w:rPr>
        <w:t>al, Peter Doherty Institute</w:t>
      </w:r>
    </w:p>
    <w:p w14:paraId="7CEA5B13" w14:textId="77777777" w:rsidR="005C4F93" w:rsidRPr="007C0CD6" w:rsidRDefault="002D7006" w:rsidP="007C0CD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D7006">
        <w:rPr>
          <w:rFonts w:ascii="Arial" w:hAnsi="Arial" w:cs="Arial"/>
        </w:rPr>
        <w:t>Department of Medicine, University of Melbourne</w:t>
      </w:r>
    </w:p>
    <w:p w14:paraId="45B4F178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49A07550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  <w:r w:rsidR="007F601E">
        <w:rPr>
          <w:rFonts w:ascii="Arial" w:hAnsi="Arial" w:cs="Arial"/>
          <w:b/>
        </w:rPr>
        <w:t xml:space="preserve">: </w:t>
      </w:r>
    </w:p>
    <w:p w14:paraId="2BC16D68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68F0579" w14:textId="77777777" w:rsidR="007F601E" w:rsidRPr="00F73156" w:rsidRDefault="00F846CD" w:rsidP="007F601E">
      <w:pPr>
        <w:spacing w:after="0"/>
        <w:rPr>
          <w:rFonts w:ascii="Arial" w:hAnsi="Arial" w:cs="Arial"/>
        </w:rPr>
      </w:pPr>
      <w:r w:rsidRPr="00F73156">
        <w:rPr>
          <w:rFonts w:ascii="Arial" w:hAnsi="Arial" w:cs="Arial"/>
        </w:rPr>
        <w:t>T</w:t>
      </w:r>
      <w:r w:rsidRPr="00F846CD">
        <w:rPr>
          <w:rFonts w:ascii="Arial" w:hAnsi="Arial" w:cs="Arial"/>
        </w:rPr>
        <w:t>​he use of antibiotics in the Australian community is much higher than most comparable countries, with 80% of antibiotics used in human medicine prescribed in general practice.</w:t>
      </w:r>
      <w:r w:rsidRPr="00F73156">
        <w:rPr>
          <w:rFonts w:ascii="Arial" w:hAnsi="Arial" w:cs="Arial"/>
        </w:rPr>
        <w:t xml:space="preserve"> </w:t>
      </w:r>
      <w:r w:rsidR="00095A1D" w:rsidRPr="00F73156">
        <w:rPr>
          <w:rFonts w:ascii="Arial" w:hAnsi="Arial" w:cs="Arial"/>
        </w:rPr>
        <w:t>Data suggest that a significant proportion of this use is not concordant with guidelines</w:t>
      </w:r>
      <w:r w:rsidR="00490DF5">
        <w:rPr>
          <w:rFonts w:ascii="Arial" w:hAnsi="Arial" w:cs="Arial"/>
        </w:rPr>
        <w:t xml:space="preserve"> (</w:t>
      </w:r>
      <w:r w:rsidR="00490DF5" w:rsidRPr="00F73156">
        <w:rPr>
          <w:rFonts w:ascii="Arial" w:hAnsi="Arial" w:cs="Arial"/>
        </w:rPr>
        <w:t>1</w:t>
      </w:r>
      <w:r w:rsidR="00490DF5">
        <w:rPr>
          <w:rFonts w:ascii="Arial" w:hAnsi="Arial" w:cs="Arial"/>
        </w:rPr>
        <w:t>)</w:t>
      </w:r>
      <w:r w:rsidR="00095A1D" w:rsidRPr="00F73156">
        <w:rPr>
          <w:rFonts w:ascii="Arial" w:hAnsi="Arial" w:cs="Arial"/>
        </w:rPr>
        <w:t xml:space="preserve">. </w:t>
      </w:r>
      <w:r w:rsidR="00894AD7" w:rsidRPr="00F73156">
        <w:rPr>
          <w:rFonts w:ascii="Arial" w:hAnsi="Arial" w:cs="Arial"/>
        </w:rPr>
        <w:t>I</w:t>
      </w:r>
      <w:r w:rsidR="009F51DE" w:rsidRPr="00F73156">
        <w:rPr>
          <w:rFonts w:ascii="Arial" w:hAnsi="Arial" w:cs="Arial"/>
        </w:rPr>
        <w:t xml:space="preserve">ssues identified include antibiotics prescribed for likely viral infections, antibiotic duration too long, spectrum too broad or </w:t>
      </w:r>
      <w:r w:rsidR="009609F0" w:rsidRPr="00F73156">
        <w:rPr>
          <w:rFonts w:ascii="Arial" w:hAnsi="Arial" w:cs="Arial"/>
        </w:rPr>
        <w:t>incorrect dose or frequency</w:t>
      </w:r>
      <w:r w:rsidR="009F51DE" w:rsidRPr="00F73156">
        <w:rPr>
          <w:rFonts w:ascii="Arial" w:hAnsi="Arial" w:cs="Arial"/>
        </w:rPr>
        <w:t xml:space="preserve">. </w:t>
      </w:r>
      <w:r w:rsidR="003A1DC8" w:rsidRPr="00F73156">
        <w:rPr>
          <w:rFonts w:ascii="Arial" w:hAnsi="Arial" w:cs="Arial"/>
        </w:rPr>
        <w:t>These prescriptions have</w:t>
      </w:r>
      <w:r w:rsidR="009F51DE" w:rsidRPr="00F73156">
        <w:rPr>
          <w:rFonts w:ascii="Arial" w:hAnsi="Arial" w:cs="Arial"/>
        </w:rPr>
        <w:t xml:space="preserve"> the potential to contribute to adverse patient outcomes and the acceleration of antibiotic resistance</w:t>
      </w:r>
      <w:r w:rsidR="00095A1D" w:rsidRPr="00F73156">
        <w:rPr>
          <w:rFonts w:ascii="Arial" w:hAnsi="Arial" w:cs="Arial"/>
        </w:rPr>
        <w:t xml:space="preserve"> amongst local pathogens</w:t>
      </w:r>
      <w:r w:rsidR="009F51DE" w:rsidRPr="00F73156">
        <w:rPr>
          <w:rFonts w:ascii="Arial" w:hAnsi="Arial" w:cs="Arial"/>
        </w:rPr>
        <w:t>.</w:t>
      </w:r>
      <w:r w:rsidR="007063B0" w:rsidRPr="00F73156">
        <w:rPr>
          <w:rFonts w:ascii="Arial" w:hAnsi="Arial" w:cs="Arial"/>
        </w:rPr>
        <w:t xml:space="preserve"> </w:t>
      </w:r>
      <w:r w:rsidR="009F51DE" w:rsidRPr="00F73156">
        <w:rPr>
          <w:rFonts w:ascii="Arial" w:hAnsi="Arial" w:cs="Arial"/>
        </w:rPr>
        <w:t xml:space="preserve">Currently, there is insufficient data on how Australian GPs make decisions around antibiotic prescribing and the influence of guidelines on their choices. </w:t>
      </w:r>
      <w:r w:rsidR="007F601E" w:rsidRPr="00F73156">
        <w:rPr>
          <w:rFonts w:ascii="Arial" w:hAnsi="Arial" w:cs="Arial"/>
        </w:rPr>
        <w:t>To improve guideline adherence</w:t>
      </w:r>
      <w:r w:rsidR="009F51DE" w:rsidRPr="00F73156">
        <w:rPr>
          <w:rFonts w:ascii="Arial" w:hAnsi="Arial" w:cs="Arial"/>
        </w:rPr>
        <w:t xml:space="preserve"> and appropriate</w:t>
      </w:r>
      <w:r w:rsidR="00894AD7" w:rsidRPr="00F73156">
        <w:rPr>
          <w:rFonts w:ascii="Arial" w:hAnsi="Arial" w:cs="Arial"/>
        </w:rPr>
        <w:t xml:space="preserve"> </w:t>
      </w:r>
      <w:r w:rsidR="009F51DE" w:rsidRPr="00F73156">
        <w:rPr>
          <w:rFonts w:ascii="Arial" w:hAnsi="Arial" w:cs="Arial"/>
        </w:rPr>
        <w:t>prescribing</w:t>
      </w:r>
      <w:r w:rsidR="007F601E" w:rsidRPr="00F73156">
        <w:rPr>
          <w:rFonts w:ascii="Arial" w:hAnsi="Arial" w:cs="Arial"/>
        </w:rPr>
        <w:t>, we need to understand how GPs use guidelines</w:t>
      </w:r>
      <w:r w:rsidR="009F51DE" w:rsidRPr="00F73156">
        <w:rPr>
          <w:rFonts w:ascii="Arial" w:hAnsi="Arial" w:cs="Arial"/>
        </w:rPr>
        <w:t xml:space="preserve"> and the electronic medical record (EMR)</w:t>
      </w:r>
      <w:r w:rsidR="007F601E" w:rsidRPr="00F73156">
        <w:rPr>
          <w:rFonts w:ascii="Arial" w:hAnsi="Arial" w:cs="Arial"/>
        </w:rPr>
        <w:t xml:space="preserve"> to inform antibiotic prescribing. </w:t>
      </w:r>
    </w:p>
    <w:p w14:paraId="27D1D2DE" w14:textId="77777777" w:rsidR="00E969FA" w:rsidRPr="003F534D" w:rsidRDefault="00E969FA" w:rsidP="00F73156">
      <w:pPr>
        <w:spacing w:after="0"/>
        <w:rPr>
          <w:rFonts w:ascii="Arial" w:hAnsi="Arial" w:cs="Arial"/>
        </w:rPr>
      </w:pPr>
    </w:p>
    <w:p w14:paraId="3793554F" w14:textId="77777777" w:rsidR="00E969FA" w:rsidRPr="00490DF5" w:rsidRDefault="00E969FA" w:rsidP="00E969FA">
      <w:pPr>
        <w:spacing w:after="0"/>
        <w:rPr>
          <w:rFonts w:ascii="Arial" w:hAnsi="Arial" w:cs="Arial"/>
          <w:b/>
        </w:rPr>
      </w:pPr>
      <w:r w:rsidRPr="00490DF5">
        <w:rPr>
          <w:rFonts w:ascii="Arial" w:hAnsi="Arial" w:cs="Arial"/>
          <w:b/>
        </w:rPr>
        <w:t>Aims</w:t>
      </w:r>
    </w:p>
    <w:p w14:paraId="2A3C7631" w14:textId="77777777" w:rsidR="007F601E" w:rsidRPr="00490DF5" w:rsidRDefault="009F51DE" w:rsidP="007F601E">
      <w:pPr>
        <w:spacing w:after="0"/>
        <w:rPr>
          <w:rFonts w:ascii="Arial" w:hAnsi="Arial" w:cs="Arial"/>
        </w:rPr>
      </w:pPr>
      <w:r w:rsidRPr="00490DF5">
        <w:rPr>
          <w:rFonts w:ascii="Arial" w:hAnsi="Arial" w:cs="Arial"/>
        </w:rPr>
        <w:t>To explore how GPs utili</w:t>
      </w:r>
      <w:r w:rsidR="003A1DC8" w:rsidRPr="00490DF5">
        <w:rPr>
          <w:rFonts w:ascii="Arial" w:hAnsi="Arial" w:cs="Arial"/>
        </w:rPr>
        <w:t>s</w:t>
      </w:r>
      <w:r w:rsidRPr="00490DF5">
        <w:rPr>
          <w:rFonts w:ascii="Arial" w:hAnsi="Arial" w:cs="Arial"/>
        </w:rPr>
        <w:t xml:space="preserve">e the </w:t>
      </w:r>
      <w:r w:rsidR="00894AD7" w:rsidRPr="00490DF5">
        <w:rPr>
          <w:rFonts w:ascii="Arial" w:hAnsi="Arial" w:cs="Arial"/>
        </w:rPr>
        <w:t>EMR</w:t>
      </w:r>
      <w:r w:rsidRPr="00490DF5">
        <w:rPr>
          <w:rFonts w:ascii="Arial" w:hAnsi="Arial" w:cs="Arial"/>
        </w:rPr>
        <w:t xml:space="preserve"> and guidelines to make decisions about antibiotic prescribing.  </w:t>
      </w:r>
    </w:p>
    <w:p w14:paraId="6C8EFC02" w14:textId="77777777" w:rsidR="00E969FA" w:rsidRPr="00490DF5" w:rsidRDefault="00E969FA" w:rsidP="00490DF5">
      <w:pPr>
        <w:spacing w:after="0"/>
        <w:rPr>
          <w:rFonts w:ascii="Arial" w:hAnsi="Arial" w:cs="Arial"/>
          <w:b/>
        </w:rPr>
      </w:pPr>
    </w:p>
    <w:p w14:paraId="4466BA22" w14:textId="77777777" w:rsidR="00E969FA" w:rsidRPr="00490DF5" w:rsidRDefault="00E969FA" w:rsidP="00E969FA">
      <w:pPr>
        <w:spacing w:after="0"/>
        <w:rPr>
          <w:rFonts w:ascii="Arial" w:hAnsi="Arial" w:cs="Arial"/>
          <w:b/>
        </w:rPr>
      </w:pPr>
      <w:r w:rsidRPr="00490DF5">
        <w:rPr>
          <w:rFonts w:ascii="Arial" w:hAnsi="Arial" w:cs="Arial"/>
          <w:b/>
        </w:rPr>
        <w:t>Method</w:t>
      </w:r>
    </w:p>
    <w:p w14:paraId="33FF8949" w14:textId="77777777" w:rsidR="00E969FA" w:rsidRPr="003F534D" w:rsidRDefault="00E969FA" w:rsidP="00490DF5">
      <w:pPr>
        <w:spacing w:after="0"/>
        <w:rPr>
          <w:rFonts w:ascii="Arial" w:hAnsi="Arial" w:cs="Arial"/>
        </w:rPr>
      </w:pPr>
    </w:p>
    <w:p w14:paraId="6D4294AD" w14:textId="77777777" w:rsidR="00E969FA" w:rsidRPr="00490DF5" w:rsidRDefault="007F601E" w:rsidP="00490DF5">
      <w:pPr>
        <w:spacing w:after="0"/>
        <w:rPr>
          <w:rFonts w:ascii="Arial" w:hAnsi="Arial" w:cs="Arial"/>
        </w:rPr>
      </w:pPr>
      <w:r w:rsidRPr="00490DF5">
        <w:rPr>
          <w:rFonts w:ascii="Arial" w:hAnsi="Arial" w:cs="Arial"/>
        </w:rPr>
        <w:t xml:space="preserve">25 GPs </w:t>
      </w:r>
      <w:r w:rsidR="009F51DE" w:rsidRPr="00490DF5">
        <w:rPr>
          <w:rFonts w:ascii="Arial" w:hAnsi="Arial" w:cs="Arial"/>
        </w:rPr>
        <w:t xml:space="preserve">from five general practices in Victoria </w:t>
      </w:r>
      <w:r w:rsidR="00326E39" w:rsidRPr="00490DF5">
        <w:rPr>
          <w:rFonts w:ascii="Arial" w:hAnsi="Arial" w:cs="Arial"/>
        </w:rPr>
        <w:t>have been</w:t>
      </w:r>
      <w:r w:rsidRPr="00490DF5">
        <w:rPr>
          <w:rFonts w:ascii="Arial" w:hAnsi="Arial" w:cs="Arial"/>
        </w:rPr>
        <w:t xml:space="preserve"> recruited to take part in focus groups. </w:t>
      </w:r>
      <w:r w:rsidR="00894AD7" w:rsidRPr="00894AD7">
        <w:rPr>
          <w:rFonts w:ascii="Arial" w:hAnsi="Arial" w:cs="Arial"/>
        </w:rPr>
        <w:t xml:space="preserve">This </w:t>
      </w:r>
      <w:r w:rsidR="009609F0">
        <w:rPr>
          <w:rFonts w:ascii="Arial" w:hAnsi="Arial" w:cs="Arial"/>
        </w:rPr>
        <w:t>w</w:t>
      </w:r>
      <w:r w:rsidR="00326E39">
        <w:rPr>
          <w:rFonts w:ascii="Arial" w:hAnsi="Arial" w:cs="Arial"/>
        </w:rPr>
        <w:t>ill be</w:t>
      </w:r>
      <w:r w:rsidR="00894AD7" w:rsidRPr="00894AD7">
        <w:rPr>
          <w:rFonts w:ascii="Arial" w:hAnsi="Arial" w:cs="Arial"/>
        </w:rPr>
        <w:t xml:space="preserve"> followed by </w:t>
      </w:r>
      <w:r w:rsidR="009609F0">
        <w:rPr>
          <w:rFonts w:ascii="Arial" w:hAnsi="Arial" w:cs="Arial"/>
        </w:rPr>
        <w:t>an</w:t>
      </w:r>
      <w:r w:rsidR="00894AD7">
        <w:rPr>
          <w:rFonts w:ascii="Arial" w:hAnsi="Arial" w:cs="Arial"/>
        </w:rPr>
        <w:t xml:space="preserve"> </w:t>
      </w:r>
      <w:r w:rsidR="00894AD7" w:rsidRPr="00894AD7">
        <w:rPr>
          <w:rFonts w:ascii="Arial" w:hAnsi="Arial" w:cs="Arial"/>
        </w:rPr>
        <w:t xml:space="preserve">observation </w:t>
      </w:r>
      <w:r w:rsidR="009609F0">
        <w:rPr>
          <w:rFonts w:ascii="Arial" w:hAnsi="Arial" w:cs="Arial"/>
        </w:rPr>
        <w:t xml:space="preserve">study </w:t>
      </w:r>
      <w:r w:rsidR="00894AD7" w:rsidRPr="00894AD7">
        <w:rPr>
          <w:rFonts w:ascii="Arial" w:hAnsi="Arial" w:cs="Arial"/>
        </w:rPr>
        <w:t xml:space="preserve">where the work flow of one participating GP per practice </w:t>
      </w:r>
      <w:r w:rsidR="00326E39">
        <w:rPr>
          <w:rFonts w:ascii="Arial" w:hAnsi="Arial" w:cs="Arial"/>
        </w:rPr>
        <w:t>is</w:t>
      </w:r>
      <w:r w:rsidR="00894AD7" w:rsidRPr="00894AD7">
        <w:rPr>
          <w:rFonts w:ascii="Arial" w:hAnsi="Arial" w:cs="Arial"/>
        </w:rPr>
        <w:t xml:space="preserve"> observed and</w:t>
      </w:r>
      <w:r w:rsidR="00894AD7">
        <w:rPr>
          <w:rFonts w:ascii="Arial" w:hAnsi="Arial" w:cs="Arial"/>
        </w:rPr>
        <w:t xml:space="preserve"> </w:t>
      </w:r>
      <w:r w:rsidR="00894AD7" w:rsidRPr="00894AD7">
        <w:rPr>
          <w:rFonts w:ascii="Arial" w:hAnsi="Arial" w:cs="Arial"/>
        </w:rPr>
        <w:t>their use of the EMR and guidelines recorded using field</w:t>
      </w:r>
      <w:r w:rsidR="009609F0">
        <w:rPr>
          <w:rFonts w:ascii="Arial" w:hAnsi="Arial" w:cs="Arial"/>
        </w:rPr>
        <w:t xml:space="preserve"> </w:t>
      </w:r>
      <w:r w:rsidR="00894AD7" w:rsidRPr="00894AD7">
        <w:rPr>
          <w:rFonts w:ascii="Arial" w:hAnsi="Arial" w:cs="Arial"/>
        </w:rPr>
        <w:t>notes</w:t>
      </w:r>
      <w:r w:rsidR="00894AD7">
        <w:rPr>
          <w:rFonts w:ascii="Arial" w:hAnsi="Arial" w:cs="Arial"/>
        </w:rPr>
        <w:t>.</w:t>
      </w:r>
      <w:r w:rsidR="00525C21" w:rsidRPr="00525C21">
        <w:rPr>
          <w:rFonts w:ascii="Arial" w:hAnsi="Arial" w:cs="Arial"/>
        </w:rPr>
        <w:t xml:space="preserve"> </w:t>
      </w:r>
      <w:r w:rsidR="00525C21" w:rsidRPr="00F73156">
        <w:rPr>
          <w:rFonts w:ascii="Arial" w:hAnsi="Arial" w:cs="Arial"/>
        </w:rPr>
        <w:t xml:space="preserve">A data triangulation approach </w:t>
      </w:r>
      <w:r w:rsidR="00525C21">
        <w:rPr>
          <w:rFonts w:ascii="Arial" w:hAnsi="Arial" w:cs="Arial"/>
        </w:rPr>
        <w:t>will be</w:t>
      </w:r>
      <w:r w:rsidR="00525C21" w:rsidRPr="00F73156">
        <w:rPr>
          <w:rFonts w:ascii="Arial" w:hAnsi="Arial" w:cs="Arial"/>
        </w:rPr>
        <w:t xml:space="preserve"> used</w:t>
      </w:r>
      <w:r w:rsidR="00525C21">
        <w:rPr>
          <w:rFonts w:ascii="Calibri" w:hAnsi="Calibri"/>
          <w:color w:val="1F497D"/>
        </w:rPr>
        <w:t>.</w:t>
      </w:r>
      <w:r w:rsidR="00525C21" w:rsidRPr="00490DF5">
        <w:rPr>
          <w:rFonts w:ascii="Arial" w:hAnsi="Arial" w:cs="Arial"/>
        </w:rPr>
        <w:t xml:space="preserve"> </w:t>
      </w:r>
      <w:r w:rsidRPr="00490DF5">
        <w:rPr>
          <w:rFonts w:ascii="Arial" w:hAnsi="Arial" w:cs="Arial"/>
        </w:rPr>
        <w:t xml:space="preserve"> </w:t>
      </w:r>
      <w:r w:rsidR="009609F0" w:rsidRPr="00490DF5">
        <w:rPr>
          <w:rFonts w:ascii="Arial" w:hAnsi="Arial" w:cs="Arial"/>
        </w:rPr>
        <w:t>Data w</w:t>
      </w:r>
      <w:r w:rsidR="00326E39" w:rsidRPr="00490DF5">
        <w:rPr>
          <w:rFonts w:ascii="Arial" w:hAnsi="Arial" w:cs="Arial"/>
        </w:rPr>
        <w:t>ill be</w:t>
      </w:r>
      <w:r w:rsidR="009609F0" w:rsidRPr="00490DF5">
        <w:rPr>
          <w:rFonts w:ascii="Arial" w:hAnsi="Arial" w:cs="Arial"/>
        </w:rPr>
        <w:t xml:space="preserve"> thematically analysed using NVivo.  </w:t>
      </w:r>
    </w:p>
    <w:p w14:paraId="2E4EA4EA" w14:textId="77777777" w:rsidR="00E969FA" w:rsidRPr="003F534D" w:rsidRDefault="00E969FA" w:rsidP="00490DF5">
      <w:pPr>
        <w:spacing w:after="0"/>
        <w:rPr>
          <w:rFonts w:ascii="Arial" w:hAnsi="Arial" w:cs="Arial"/>
        </w:rPr>
      </w:pPr>
    </w:p>
    <w:p w14:paraId="1A19666C" w14:textId="77777777" w:rsidR="00E969FA" w:rsidRPr="00490DF5" w:rsidRDefault="00E969FA" w:rsidP="00E969FA">
      <w:pPr>
        <w:spacing w:after="0"/>
        <w:rPr>
          <w:rFonts w:ascii="Arial" w:hAnsi="Arial" w:cs="Arial"/>
          <w:b/>
        </w:rPr>
      </w:pPr>
      <w:r w:rsidRPr="00490DF5">
        <w:rPr>
          <w:rFonts w:ascii="Arial" w:hAnsi="Arial" w:cs="Arial"/>
          <w:b/>
        </w:rPr>
        <w:t>Results</w:t>
      </w:r>
    </w:p>
    <w:p w14:paraId="5B7B06AA" w14:textId="77777777" w:rsidR="00E969FA" w:rsidRPr="003F534D" w:rsidRDefault="00E969FA" w:rsidP="00490DF5">
      <w:pPr>
        <w:spacing w:after="0"/>
        <w:rPr>
          <w:rFonts w:ascii="Arial" w:hAnsi="Arial" w:cs="Arial"/>
        </w:rPr>
      </w:pPr>
    </w:p>
    <w:p w14:paraId="19BB81E6" w14:textId="77777777" w:rsidR="00E969FA" w:rsidRPr="003F534D" w:rsidRDefault="00894AD7" w:rsidP="00490D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Focus groups are currently being conducted and results will be presented at GP18.</w:t>
      </w:r>
    </w:p>
    <w:p w14:paraId="49731BBC" w14:textId="77777777" w:rsidR="00E969FA" w:rsidRPr="00490DF5" w:rsidRDefault="00E969FA" w:rsidP="00490DF5">
      <w:pPr>
        <w:spacing w:after="0"/>
        <w:rPr>
          <w:rFonts w:ascii="Arial" w:hAnsi="Arial" w:cs="Arial"/>
          <w:b/>
        </w:rPr>
      </w:pPr>
    </w:p>
    <w:p w14:paraId="5FFBEA90" w14:textId="77777777" w:rsidR="00E969FA" w:rsidRPr="00490DF5" w:rsidRDefault="00E969FA" w:rsidP="00E969FA">
      <w:pPr>
        <w:spacing w:after="0"/>
        <w:rPr>
          <w:rFonts w:ascii="Arial" w:hAnsi="Arial" w:cs="Arial"/>
          <w:b/>
        </w:rPr>
      </w:pPr>
      <w:r w:rsidRPr="00490DF5">
        <w:rPr>
          <w:rFonts w:ascii="Arial" w:hAnsi="Arial" w:cs="Arial"/>
          <w:b/>
        </w:rPr>
        <w:t>Conclusion</w:t>
      </w:r>
    </w:p>
    <w:p w14:paraId="5E628C66" w14:textId="77777777" w:rsidR="00E969FA" w:rsidRPr="003F534D" w:rsidRDefault="00894AD7" w:rsidP="00490D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study will provide important </w:t>
      </w:r>
      <w:r w:rsidR="00326E39">
        <w:rPr>
          <w:rFonts w:ascii="Arial" w:hAnsi="Arial" w:cs="Arial"/>
        </w:rPr>
        <w:t>insight into</w:t>
      </w:r>
      <w:r>
        <w:rPr>
          <w:rFonts w:ascii="Arial" w:hAnsi="Arial" w:cs="Arial"/>
        </w:rPr>
        <w:t xml:space="preserve"> the current use of a</w:t>
      </w:r>
      <w:r w:rsidR="00297FE2">
        <w:rPr>
          <w:rFonts w:ascii="Arial" w:hAnsi="Arial" w:cs="Arial"/>
        </w:rPr>
        <w:t>ntibiotic prescribing guidelines</w:t>
      </w:r>
      <w:r w:rsidR="00326E39">
        <w:rPr>
          <w:rFonts w:ascii="Arial" w:hAnsi="Arial" w:cs="Arial"/>
        </w:rPr>
        <w:t xml:space="preserve"> in general practice.</w:t>
      </w:r>
      <w:r>
        <w:rPr>
          <w:rFonts w:ascii="Arial" w:hAnsi="Arial" w:cs="Arial"/>
        </w:rPr>
        <w:t xml:space="preserve"> </w:t>
      </w:r>
      <w:r w:rsidR="00326E39">
        <w:rPr>
          <w:rFonts w:ascii="Arial" w:hAnsi="Arial" w:cs="Arial"/>
        </w:rPr>
        <w:t>This data</w:t>
      </w:r>
      <w:r>
        <w:rPr>
          <w:rFonts w:ascii="Arial" w:hAnsi="Arial" w:cs="Arial"/>
        </w:rPr>
        <w:t xml:space="preserve"> will be used to inform the design of a clinical decision support tool integrated with the EMR to optimise antibiotic prescribing</w:t>
      </w:r>
      <w:r w:rsidR="00326E39">
        <w:rPr>
          <w:rFonts w:ascii="Arial" w:hAnsi="Arial" w:cs="Arial"/>
        </w:rPr>
        <w:t xml:space="preserve"> in general practice</w:t>
      </w:r>
      <w:r>
        <w:rPr>
          <w:rFonts w:ascii="Arial" w:hAnsi="Arial" w:cs="Arial"/>
        </w:rPr>
        <w:t xml:space="preserve">. </w:t>
      </w:r>
    </w:p>
    <w:p w14:paraId="05B10916" w14:textId="77777777" w:rsidR="008E12D5" w:rsidRPr="00490DF5" w:rsidRDefault="008E12D5" w:rsidP="00A364F0">
      <w:pPr>
        <w:spacing w:after="0"/>
        <w:rPr>
          <w:rFonts w:ascii="Arial" w:hAnsi="Arial" w:cs="Arial"/>
        </w:rPr>
      </w:pPr>
    </w:p>
    <w:p w14:paraId="73B65746" w14:textId="77777777" w:rsidR="007A3219" w:rsidRPr="00490DF5" w:rsidRDefault="00E969FA" w:rsidP="00A364F0">
      <w:pPr>
        <w:spacing w:after="0"/>
        <w:rPr>
          <w:rFonts w:ascii="Arial" w:hAnsi="Arial" w:cs="Arial"/>
          <w:b/>
        </w:rPr>
      </w:pPr>
      <w:r w:rsidRPr="00490DF5">
        <w:rPr>
          <w:rFonts w:ascii="Arial" w:hAnsi="Arial" w:cs="Arial"/>
          <w:b/>
        </w:rPr>
        <w:t>References</w:t>
      </w:r>
    </w:p>
    <w:p w14:paraId="353F00CE" w14:textId="77777777" w:rsidR="00490DF5" w:rsidRPr="00490DF5" w:rsidRDefault="00490DF5" w:rsidP="00490D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90DF5">
        <w:rPr>
          <w:rFonts w:ascii="Arial" w:hAnsi="Arial" w:cs="Arial"/>
        </w:rPr>
        <w:t>Australian Commission on Safety and Quality in Health Care (ACSQHC). AURA 2017: Second</w:t>
      </w:r>
    </w:p>
    <w:p w14:paraId="4D0EB9B9" w14:textId="77777777" w:rsidR="00490DF5" w:rsidRPr="00490DF5" w:rsidRDefault="00490DF5" w:rsidP="00490DF5">
      <w:pPr>
        <w:spacing w:after="0"/>
        <w:rPr>
          <w:rFonts w:ascii="Arial" w:hAnsi="Arial" w:cs="Arial"/>
        </w:rPr>
      </w:pPr>
      <w:r w:rsidRPr="00490DF5">
        <w:rPr>
          <w:rFonts w:ascii="Arial" w:hAnsi="Arial" w:cs="Arial"/>
        </w:rPr>
        <w:t>Australian report on antimicrobial use and resistance in human health. Sydney: ACSQHC;</w:t>
      </w:r>
    </w:p>
    <w:p w14:paraId="48F7D4B5" w14:textId="77777777" w:rsidR="00490DF5" w:rsidRPr="00490DF5" w:rsidRDefault="00490DF5" w:rsidP="00490DF5">
      <w:pPr>
        <w:spacing w:after="0"/>
        <w:rPr>
          <w:rFonts w:ascii="Arial" w:hAnsi="Arial" w:cs="Arial"/>
        </w:rPr>
      </w:pPr>
      <w:r w:rsidRPr="00490DF5">
        <w:rPr>
          <w:rFonts w:ascii="Arial" w:hAnsi="Arial" w:cs="Arial"/>
        </w:rPr>
        <w:t>2017.</w:t>
      </w:r>
    </w:p>
    <w:sectPr w:rsidR="00490DF5" w:rsidRPr="00490DF5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234E" w14:textId="77777777" w:rsidR="00DA0BAC" w:rsidRDefault="00DA0BAC" w:rsidP="00DB6276">
      <w:pPr>
        <w:spacing w:after="0" w:line="240" w:lineRule="auto"/>
      </w:pPr>
      <w:r>
        <w:separator/>
      </w:r>
    </w:p>
  </w:endnote>
  <w:endnote w:type="continuationSeparator" w:id="0">
    <w:p w14:paraId="4C5B5244" w14:textId="77777777" w:rsidR="00DA0BAC" w:rsidRDefault="00DA0BA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102C" w14:textId="77777777" w:rsidR="00DA0BAC" w:rsidRDefault="00DA0BAC" w:rsidP="00DB6276">
      <w:pPr>
        <w:spacing w:after="0" w:line="240" w:lineRule="auto"/>
      </w:pPr>
      <w:r>
        <w:separator/>
      </w:r>
    </w:p>
  </w:footnote>
  <w:footnote w:type="continuationSeparator" w:id="0">
    <w:p w14:paraId="76927619" w14:textId="77777777" w:rsidR="00DA0BAC" w:rsidRDefault="00DA0BA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B3327"/>
    <w:multiLevelType w:val="hybridMultilevel"/>
    <w:tmpl w:val="AB9CE9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354B0"/>
    <w:rsid w:val="000530F3"/>
    <w:rsid w:val="0006205D"/>
    <w:rsid w:val="00065794"/>
    <w:rsid w:val="0009481D"/>
    <w:rsid w:val="00095A1D"/>
    <w:rsid w:val="000A005C"/>
    <w:rsid w:val="000C670A"/>
    <w:rsid w:val="000D1EB3"/>
    <w:rsid w:val="001A0E12"/>
    <w:rsid w:val="001A7273"/>
    <w:rsid w:val="001E1F66"/>
    <w:rsid w:val="00204AE2"/>
    <w:rsid w:val="002061A7"/>
    <w:rsid w:val="00226C37"/>
    <w:rsid w:val="00237188"/>
    <w:rsid w:val="00297FE2"/>
    <w:rsid w:val="002C520E"/>
    <w:rsid w:val="002C7EFE"/>
    <w:rsid w:val="002D1372"/>
    <w:rsid w:val="002D267A"/>
    <w:rsid w:val="002D6E16"/>
    <w:rsid w:val="002D7006"/>
    <w:rsid w:val="00323232"/>
    <w:rsid w:val="00326E39"/>
    <w:rsid w:val="003319CA"/>
    <w:rsid w:val="00343788"/>
    <w:rsid w:val="0037377D"/>
    <w:rsid w:val="00387636"/>
    <w:rsid w:val="003A1DC8"/>
    <w:rsid w:val="003A5C47"/>
    <w:rsid w:val="003B56C9"/>
    <w:rsid w:val="003C0B6D"/>
    <w:rsid w:val="003D7F5C"/>
    <w:rsid w:val="004806DA"/>
    <w:rsid w:val="00490DF5"/>
    <w:rsid w:val="004A4C8F"/>
    <w:rsid w:val="004A7DF6"/>
    <w:rsid w:val="004A7F18"/>
    <w:rsid w:val="004C4FEF"/>
    <w:rsid w:val="004D35FA"/>
    <w:rsid w:val="004F5E9D"/>
    <w:rsid w:val="00525C21"/>
    <w:rsid w:val="00556C76"/>
    <w:rsid w:val="00561AD8"/>
    <w:rsid w:val="00594139"/>
    <w:rsid w:val="005B3318"/>
    <w:rsid w:val="005C4F93"/>
    <w:rsid w:val="006150A8"/>
    <w:rsid w:val="00622389"/>
    <w:rsid w:val="00634A5F"/>
    <w:rsid w:val="00687FF6"/>
    <w:rsid w:val="006D10CF"/>
    <w:rsid w:val="007063B0"/>
    <w:rsid w:val="007340C2"/>
    <w:rsid w:val="007A3219"/>
    <w:rsid w:val="007A4975"/>
    <w:rsid w:val="007C0CD6"/>
    <w:rsid w:val="007F1A8D"/>
    <w:rsid w:val="007F601E"/>
    <w:rsid w:val="00804C6D"/>
    <w:rsid w:val="00832D98"/>
    <w:rsid w:val="008426B4"/>
    <w:rsid w:val="00866BFD"/>
    <w:rsid w:val="00874930"/>
    <w:rsid w:val="00894AD7"/>
    <w:rsid w:val="008A6431"/>
    <w:rsid w:val="008D7BF0"/>
    <w:rsid w:val="008E12D5"/>
    <w:rsid w:val="009234FF"/>
    <w:rsid w:val="00937FEB"/>
    <w:rsid w:val="009609F0"/>
    <w:rsid w:val="0098351A"/>
    <w:rsid w:val="00984CE1"/>
    <w:rsid w:val="00995919"/>
    <w:rsid w:val="009C7760"/>
    <w:rsid w:val="009F51DE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1108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838DC"/>
    <w:rsid w:val="00D91638"/>
    <w:rsid w:val="00D94D46"/>
    <w:rsid w:val="00DA0BAC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128B"/>
    <w:rsid w:val="00EC46E6"/>
    <w:rsid w:val="00ED7C3D"/>
    <w:rsid w:val="00EE417F"/>
    <w:rsid w:val="00F12827"/>
    <w:rsid w:val="00F21792"/>
    <w:rsid w:val="00F73156"/>
    <w:rsid w:val="00F75019"/>
    <w:rsid w:val="00F846CD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612A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A883-1FA8-49E0-A11C-7CDE674C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Jo-Anne Elizabeth Manski-Nankervis</cp:lastModifiedBy>
  <cp:revision>3</cp:revision>
  <dcterms:created xsi:type="dcterms:W3CDTF">2018-03-02T05:55:00Z</dcterms:created>
  <dcterms:modified xsi:type="dcterms:W3CDTF">2018-03-02T05:56:00Z</dcterms:modified>
</cp:coreProperties>
</file>