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C2C5" w14:textId="77777777" w:rsidR="005C4F93" w:rsidRDefault="005C4F93" w:rsidP="00E969FA">
      <w:pPr>
        <w:spacing w:after="0"/>
        <w:rPr>
          <w:rFonts w:ascii="Arial" w:hAnsi="Arial" w:cs="Arial"/>
          <w:b/>
        </w:rPr>
      </w:pPr>
      <w:r w:rsidRPr="005C4F93">
        <w:rPr>
          <w:rFonts w:ascii="Arial" w:hAnsi="Arial" w:cs="Arial"/>
          <w:b/>
        </w:rPr>
        <w:t>Title</w:t>
      </w:r>
    </w:p>
    <w:p w14:paraId="4EA4C985" w14:textId="245AAB3C" w:rsidR="005C4F93" w:rsidRDefault="00063F74" w:rsidP="00E969FA">
      <w:pPr>
        <w:spacing w:after="0"/>
        <w:rPr>
          <w:rFonts w:ascii="Arial" w:hAnsi="Arial" w:cs="Arial"/>
        </w:rPr>
      </w:pPr>
      <w:r>
        <w:rPr>
          <w:rFonts w:ascii="Arial" w:hAnsi="Arial" w:cs="Arial"/>
        </w:rPr>
        <w:t>Adequacy of GP registrars’ clinical exposures during training: establishing inter-practice variability in registrar consultations with older patients</w:t>
      </w:r>
      <w:bookmarkStart w:id="0" w:name="_GoBack"/>
      <w:bookmarkEnd w:id="0"/>
      <w:r>
        <w:rPr>
          <w:rFonts w:ascii="Arial" w:hAnsi="Arial" w:cs="Arial"/>
        </w:rPr>
        <w:t xml:space="preserve"> </w:t>
      </w:r>
    </w:p>
    <w:p w14:paraId="22D3D7DF" w14:textId="77777777" w:rsidR="005C4F93" w:rsidRPr="005C4F93" w:rsidRDefault="005C4F93" w:rsidP="00E969FA">
      <w:pPr>
        <w:spacing w:after="0"/>
        <w:rPr>
          <w:rFonts w:ascii="Arial" w:hAnsi="Arial" w:cs="Arial"/>
        </w:rPr>
      </w:pPr>
    </w:p>
    <w:p w14:paraId="340D56B6" w14:textId="77777777" w:rsidR="005C4F93" w:rsidRPr="005C4F93" w:rsidRDefault="00634A5F" w:rsidP="00E969FA">
      <w:pPr>
        <w:spacing w:after="0"/>
        <w:rPr>
          <w:rFonts w:ascii="Arial" w:hAnsi="Arial" w:cs="Arial"/>
          <w:b/>
        </w:rPr>
      </w:pPr>
      <w:r>
        <w:rPr>
          <w:rFonts w:ascii="Arial" w:hAnsi="Arial" w:cs="Arial"/>
          <w:b/>
        </w:rPr>
        <w:t>Author and affiliations</w:t>
      </w:r>
    </w:p>
    <w:p w14:paraId="30824722" w14:textId="4FC121E3" w:rsidR="00715154" w:rsidRDefault="00715154" w:rsidP="00715154">
      <w:pPr>
        <w:spacing w:after="0"/>
        <w:rPr>
          <w:rFonts w:ascii="Arial" w:hAnsi="Arial" w:cs="Arial"/>
        </w:rPr>
      </w:pPr>
      <w:r>
        <w:rPr>
          <w:rFonts w:ascii="Arial" w:hAnsi="Arial" w:cs="Arial"/>
        </w:rPr>
        <w:t>Parker Magin</w:t>
      </w:r>
      <w:r w:rsidR="00B95769">
        <w:rPr>
          <w:rFonts w:ascii="Arial" w:hAnsi="Arial" w:cs="Arial"/>
        </w:rPr>
        <w:t xml:space="preserve"> </w:t>
      </w:r>
      <w:r w:rsidR="00B95769" w:rsidRPr="00B95769">
        <w:rPr>
          <w:rFonts w:ascii="Arial" w:hAnsi="Arial" w:cs="Arial"/>
          <w:vertAlign w:val="superscript"/>
        </w:rPr>
        <w:t>1,2</w:t>
      </w:r>
      <w:r w:rsidR="00B95769">
        <w:rPr>
          <w:rFonts w:ascii="Arial" w:hAnsi="Arial" w:cs="Arial"/>
        </w:rPr>
        <w:t>, N</w:t>
      </w:r>
      <w:r w:rsidRPr="00FC6E35">
        <w:rPr>
          <w:rFonts w:ascii="Arial" w:hAnsi="Arial" w:cs="Arial"/>
        </w:rPr>
        <w:t>eil Spike</w:t>
      </w:r>
      <w:r w:rsidR="00B95769">
        <w:rPr>
          <w:rFonts w:ascii="Arial" w:hAnsi="Arial" w:cs="Arial"/>
        </w:rPr>
        <w:t xml:space="preserve"> </w:t>
      </w:r>
      <w:r w:rsidR="00B95769" w:rsidRPr="00B95769">
        <w:rPr>
          <w:rFonts w:ascii="Arial" w:hAnsi="Arial" w:cs="Arial"/>
          <w:vertAlign w:val="superscript"/>
        </w:rPr>
        <w:t>3,4</w:t>
      </w:r>
      <w:r w:rsidR="00B95769">
        <w:rPr>
          <w:rFonts w:ascii="Arial" w:hAnsi="Arial" w:cs="Arial"/>
        </w:rPr>
        <w:t xml:space="preserve">, </w:t>
      </w:r>
      <w:r w:rsidRPr="00FC6E35">
        <w:rPr>
          <w:rFonts w:ascii="Arial" w:hAnsi="Arial" w:cs="Arial"/>
        </w:rPr>
        <w:t>Andrew Davey</w:t>
      </w:r>
      <w:r w:rsidR="00B95769">
        <w:rPr>
          <w:rFonts w:ascii="Arial" w:hAnsi="Arial" w:cs="Arial"/>
        </w:rPr>
        <w:t xml:space="preserve"> </w:t>
      </w:r>
      <w:r w:rsidR="00B95769" w:rsidRPr="00B95769">
        <w:rPr>
          <w:rFonts w:ascii="Arial" w:hAnsi="Arial" w:cs="Arial"/>
          <w:vertAlign w:val="superscript"/>
        </w:rPr>
        <w:t>1,2</w:t>
      </w:r>
      <w:r w:rsidR="00B95769">
        <w:rPr>
          <w:rFonts w:ascii="Arial" w:hAnsi="Arial" w:cs="Arial"/>
        </w:rPr>
        <w:t xml:space="preserve">, </w:t>
      </w:r>
      <w:r w:rsidRPr="00FC6E35">
        <w:rPr>
          <w:rFonts w:ascii="Arial" w:hAnsi="Arial" w:cs="Arial"/>
        </w:rPr>
        <w:t>Amanda Tapley</w:t>
      </w:r>
      <w:r w:rsidR="00B95769">
        <w:rPr>
          <w:rFonts w:ascii="Arial" w:hAnsi="Arial" w:cs="Arial"/>
        </w:rPr>
        <w:t xml:space="preserve"> </w:t>
      </w:r>
      <w:r w:rsidR="00B95769" w:rsidRPr="00B95769">
        <w:rPr>
          <w:rFonts w:ascii="Arial" w:hAnsi="Arial" w:cs="Arial"/>
          <w:vertAlign w:val="superscript"/>
        </w:rPr>
        <w:t>1,2</w:t>
      </w:r>
      <w:r w:rsidR="00B95769">
        <w:rPr>
          <w:rFonts w:ascii="Arial" w:hAnsi="Arial" w:cs="Arial"/>
        </w:rPr>
        <w:t xml:space="preserve">, </w:t>
      </w:r>
      <w:r w:rsidRPr="00FC6E35">
        <w:rPr>
          <w:rFonts w:ascii="Arial" w:hAnsi="Arial" w:cs="Arial"/>
        </w:rPr>
        <w:t>Elizabeth Holliday</w:t>
      </w:r>
      <w:r w:rsidR="00B95769">
        <w:rPr>
          <w:rFonts w:ascii="Arial" w:hAnsi="Arial" w:cs="Arial"/>
        </w:rPr>
        <w:t xml:space="preserve"> </w:t>
      </w:r>
      <w:r w:rsidR="00B95769" w:rsidRPr="00B95769">
        <w:rPr>
          <w:rFonts w:ascii="Arial" w:hAnsi="Arial" w:cs="Arial"/>
          <w:vertAlign w:val="superscript"/>
        </w:rPr>
        <w:t>1</w:t>
      </w:r>
      <w:r w:rsidR="00B95769">
        <w:rPr>
          <w:rFonts w:ascii="Arial" w:hAnsi="Arial" w:cs="Arial"/>
        </w:rPr>
        <w:t xml:space="preserve">, </w:t>
      </w:r>
      <w:r w:rsidRPr="00FC6E35">
        <w:rPr>
          <w:rFonts w:ascii="Arial" w:hAnsi="Arial" w:cs="Arial"/>
        </w:rPr>
        <w:t>Mieke van Driel</w:t>
      </w:r>
      <w:r w:rsidR="00B95769">
        <w:rPr>
          <w:rFonts w:ascii="Arial" w:hAnsi="Arial" w:cs="Arial"/>
        </w:rPr>
        <w:t xml:space="preserve"> </w:t>
      </w:r>
      <w:r w:rsidR="00B95769" w:rsidRPr="00B95769">
        <w:rPr>
          <w:rFonts w:ascii="Arial" w:hAnsi="Arial" w:cs="Arial"/>
          <w:vertAlign w:val="superscript"/>
        </w:rPr>
        <w:t>5</w:t>
      </w:r>
    </w:p>
    <w:p w14:paraId="07CE83B8" w14:textId="189FCC17" w:rsidR="00B95769" w:rsidRDefault="00B95769" w:rsidP="00715154">
      <w:pPr>
        <w:spacing w:after="0"/>
        <w:rPr>
          <w:rFonts w:ascii="Arial" w:hAnsi="Arial" w:cs="Arial"/>
        </w:rPr>
      </w:pPr>
    </w:p>
    <w:p w14:paraId="12B6BF1E" w14:textId="2F3A7004" w:rsidR="00B95769" w:rsidRDefault="00B95769" w:rsidP="00715154">
      <w:pPr>
        <w:spacing w:after="0"/>
        <w:rPr>
          <w:rFonts w:ascii="Arial" w:hAnsi="Arial" w:cs="Arial"/>
        </w:rPr>
      </w:pPr>
      <w:r w:rsidRPr="00B95769">
        <w:rPr>
          <w:rFonts w:ascii="Arial" w:hAnsi="Arial" w:cs="Arial"/>
          <w:vertAlign w:val="superscript"/>
        </w:rPr>
        <w:t>1</w:t>
      </w:r>
      <w:r>
        <w:rPr>
          <w:rFonts w:ascii="Arial" w:hAnsi="Arial" w:cs="Arial"/>
        </w:rPr>
        <w:t xml:space="preserve"> University of Newcastle</w:t>
      </w:r>
    </w:p>
    <w:p w14:paraId="45654235" w14:textId="23F954E4" w:rsidR="00B95769" w:rsidRDefault="00B95769" w:rsidP="00715154">
      <w:pPr>
        <w:spacing w:after="0"/>
        <w:rPr>
          <w:rFonts w:ascii="Arial" w:hAnsi="Arial" w:cs="Arial"/>
        </w:rPr>
      </w:pPr>
      <w:r w:rsidRPr="00B95769">
        <w:rPr>
          <w:rFonts w:ascii="Arial" w:hAnsi="Arial" w:cs="Arial"/>
          <w:vertAlign w:val="superscript"/>
        </w:rPr>
        <w:t>2</w:t>
      </w:r>
      <w:r>
        <w:rPr>
          <w:rFonts w:ascii="Arial" w:hAnsi="Arial" w:cs="Arial"/>
        </w:rPr>
        <w:t xml:space="preserve"> </w:t>
      </w:r>
      <w:r>
        <w:rPr>
          <w:rFonts w:ascii="Arial" w:hAnsi="Arial" w:cs="Arial"/>
        </w:rPr>
        <w:t>GP Synergy</w:t>
      </w:r>
    </w:p>
    <w:p w14:paraId="6BA3F28E" w14:textId="37C7041C" w:rsidR="00B95769" w:rsidRDefault="00B95769" w:rsidP="00715154">
      <w:pPr>
        <w:spacing w:after="0"/>
        <w:rPr>
          <w:rFonts w:ascii="Arial" w:hAnsi="Arial" w:cs="Arial"/>
        </w:rPr>
      </w:pPr>
      <w:r w:rsidRPr="00B95769">
        <w:rPr>
          <w:rFonts w:ascii="Arial" w:hAnsi="Arial" w:cs="Arial"/>
          <w:vertAlign w:val="superscript"/>
        </w:rPr>
        <w:t>3</w:t>
      </w:r>
      <w:r>
        <w:rPr>
          <w:rFonts w:ascii="Arial" w:hAnsi="Arial" w:cs="Arial"/>
        </w:rPr>
        <w:t xml:space="preserve"> </w:t>
      </w:r>
      <w:r w:rsidRPr="00FC6E35">
        <w:rPr>
          <w:rFonts w:ascii="Arial" w:hAnsi="Arial" w:cs="Arial"/>
        </w:rPr>
        <w:t>University of M</w:t>
      </w:r>
      <w:r>
        <w:rPr>
          <w:rFonts w:ascii="Arial" w:hAnsi="Arial" w:cs="Arial"/>
        </w:rPr>
        <w:t>elbourne</w:t>
      </w:r>
    </w:p>
    <w:p w14:paraId="60C37382" w14:textId="2A45E6E8" w:rsidR="00B95769" w:rsidRDefault="00B95769" w:rsidP="00715154">
      <w:pPr>
        <w:spacing w:after="0"/>
        <w:rPr>
          <w:rFonts w:ascii="Arial" w:hAnsi="Arial" w:cs="Arial"/>
        </w:rPr>
      </w:pPr>
      <w:r w:rsidRPr="00B95769">
        <w:rPr>
          <w:rFonts w:ascii="Arial" w:hAnsi="Arial" w:cs="Arial"/>
          <w:vertAlign w:val="superscript"/>
        </w:rPr>
        <w:t>4</w:t>
      </w:r>
      <w:r>
        <w:rPr>
          <w:rFonts w:ascii="Arial" w:hAnsi="Arial" w:cs="Arial"/>
        </w:rPr>
        <w:t xml:space="preserve"> </w:t>
      </w:r>
      <w:r w:rsidRPr="00FC6E35">
        <w:rPr>
          <w:rFonts w:ascii="Arial" w:hAnsi="Arial" w:cs="Arial"/>
        </w:rPr>
        <w:t>Eastern Victoria General Practice Training</w:t>
      </w:r>
    </w:p>
    <w:p w14:paraId="113623D2" w14:textId="6EC15E20" w:rsidR="00B95769" w:rsidRDefault="00B95769" w:rsidP="00715154">
      <w:pPr>
        <w:spacing w:after="0"/>
        <w:rPr>
          <w:rFonts w:ascii="Arial" w:hAnsi="Arial" w:cs="Arial"/>
        </w:rPr>
      </w:pPr>
      <w:r w:rsidRPr="00B95769">
        <w:rPr>
          <w:rFonts w:ascii="Arial" w:hAnsi="Arial" w:cs="Arial"/>
          <w:vertAlign w:val="superscript"/>
        </w:rPr>
        <w:t>5</w:t>
      </w:r>
      <w:r>
        <w:rPr>
          <w:rFonts w:ascii="Arial" w:hAnsi="Arial" w:cs="Arial"/>
        </w:rPr>
        <w:t xml:space="preserve"> </w:t>
      </w:r>
      <w:r w:rsidRPr="00FC6E35">
        <w:rPr>
          <w:rFonts w:ascii="Arial" w:hAnsi="Arial" w:cs="Arial"/>
        </w:rPr>
        <w:t>University of Queensland</w:t>
      </w:r>
    </w:p>
    <w:p w14:paraId="73A23231" w14:textId="77777777" w:rsidR="00E969FA" w:rsidRPr="003F534D" w:rsidRDefault="00E969FA" w:rsidP="00E969FA">
      <w:pPr>
        <w:spacing w:after="0"/>
        <w:rPr>
          <w:rFonts w:ascii="Arial" w:hAnsi="Arial" w:cs="Arial"/>
        </w:rPr>
      </w:pPr>
    </w:p>
    <w:p w14:paraId="5D04E94D" w14:textId="77777777" w:rsidR="0073776B" w:rsidRPr="003F534D" w:rsidRDefault="0073776B" w:rsidP="0073776B">
      <w:pPr>
        <w:spacing w:after="0"/>
        <w:rPr>
          <w:rFonts w:ascii="Arial" w:hAnsi="Arial" w:cs="Arial"/>
          <w:b/>
        </w:rPr>
      </w:pPr>
      <w:r w:rsidRPr="003F534D">
        <w:rPr>
          <w:rFonts w:ascii="Arial" w:hAnsi="Arial" w:cs="Arial"/>
          <w:b/>
        </w:rPr>
        <w:t>Background</w:t>
      </w:r>
    </w:p>
    <w:p w14:paraId="11CF12CF" w14:textId="3C06BEF0" w:rsidR="0073776B" w:rsidRDefault="0073776B" w:rsidP="0073776B">
      <w:pPr>
        <w:pStyle w:val="NoSpacing"/>
        <w:rPr>
          <w:rFonts w:ascii="Arial" w:hAnsi="Arial" w:cs="Arial"/>
        </w:rPr>
      </w:pPr>
      <w:r>
        <w:rPr>
          <w:rFonts w:ascii="Arial" w:hAnsi="Arial" w:cs="Arial"/>
        </w:rPr>
        <w:t xml:space="preserve">GP vocational training </w:t>
      </w:r>
      <w:r w:rsidRPr="007E1F5F">
        <w:rPr>
          <w:rFonts w:ascii="Arial" w:hAnsi="Arial" w:cs="Arial"/>
        </w:rPr>
        <w:t>practice</w:t>
      </w:r>
      <w:r>
        <w:rPr>
          <w:rFonts w:ascii="Arial" w:hAnsi="Arial" w:cs="Arial"/>
        </w:rPr>
        <w:t>s</w:t>
      </w:r>
      <w:r w:rsidRPr="007E1F5F">
        <w:rPr>
          <w:rFonts w:ascii="Arial" w:hAnsi="Arial" w:cs="Arial"/>
        </w:rPr>
        <w:t xml:space="preserve"> </w:t>
      </w:r>
      <w:r>
        <w:rPr>
          <w:rFonts w:ascii="Arial" w:hAnsi="Arial" w:cs="Arial"/>
        </w:rPr>
        <w:t xml:space="preserve">should </w:t>
      </w:r>
      <w:r w:rsidRPr="007E1F5F">
        <w:rPr>
          <w:rFonts w:ascii="Arial" w:hAnsi="Arial" w:cs="Arial"/>
        </w:rPr>
        <w:t>offer a range of services to a wide range of patients</w:t>
      </w:r>
      <w:r>
        <w:rPr>
          <w:rFonts w:ascii="Arial" w:hAnsi="Arial" w:cs="Arial"/>
        </w:rPr>
        <w:t>, and GP registrars should receive adequate exposure to all patient groups likely to be encountered in unsupervised practice post-training.</w:t>
      </w:r>
    </w:p>
    <w:p w14:paraId="50113F3A" w14:textId="77777777" w:rsidR="0073776B" w:rsidRDefault="0073776B" w:rsidP="0073776B">
      <w:pPr>
        <w:pStyle w:val="NoSpacing"/>
        <w:rPr>
          <w:rFonts w:ascii="Arial" w:hAnsi="Arial" w:cs="Arial"/>
        </w:rPr>
      </w:pPr>
      <w:r>
        <w:rPr>
          <w:rFonts w:ascii="Arial" w:hAnsi="Arial" w:cs="Arial"/>
        </w:rPr>
        <w:t>Considerable Australian evidence suggests that registrars see appreciably fewer older patients than their established GP peers and that the educational value of consultations with older patients may often be suboptimal. Anecdotally, there is also considerable inter-practice variability in registrars’ exposure to older patient care. This variability would exacerbate, for those registrars training in these practices, any underlying deficits in older patient care experience.</w:t>
      </w:r>
    </w:p>
    <w:p w14:paraId="40B37E78" w14:textId="77777777" w:rsidR="0073776B" w:rsidRPr="003F534D" w:rsidRDefault="0073776B" w:rsidP="0073776B">
      <w:pPr>
        <w:pStyle w:val="NoSpacing"/>
        <w:rPr>
          <w:rFonts w:ascii="Arial" w:hAnsi="Arial" w:cs="Arial"/>
        </w:rPr>
      </w:pPr>
      <w:r>
        <w:rPr>
          <w:rFonts w:ascii="Arial" w:hAnsi="Arial" w:cs="Arial"/>
        </w:rPr>
        <w:t>While there are concerns regarding the adequacy of registrar exposure to some aspects of paediatric care, overall paediatric exposure and variability in paediatric exposure is not thought to be as problematic.</w:t>
      </w:r>
    </w:p>
    <w:p w14:paraId="410798BC" w14:textId="77777777" w:rsidR="0073776B" w:rsidRPr="003F534D" w:rsidRDefault="0073776B" w:rsidP="0073776B">
      <w:pPr>
        <w:pStyle w:val="NoSpacing"/>
        <w:rPr>
          <w:rFonts w:ascii="Arial" w:hAnsi="Arial" w:cs="Arial"/>
        </w:rPr>
      </w:pPr>
    </w:p>
    <w:p w14:paraId="5B7B47A7" w14:textId="77777777" w:rsidR="0073776B" w:rsidRPr="003F534D" w:rsidRDefault="0073776B" w:rsidP="0073776B">
      <w:pPr>
        <w:spacing w:after="0"/>
        <w:rPr>
          <w:rFonts w:ascii="Arial" w:hAnsi="Arial" w:cs="Arial"/>
          <w:b/>
        </w:rPr>
      </w:pPr>
      <w:r w:rsidRPr="003F534D">
        <w:rPr>
          <w:rFonts w:ascii="Arial" w:hAnsi="Arial" w:cs="Arial"/>
          <w:b/>
        </w:rPr>
        <w:t>Aims</w:t>
      </w:r>
    </w:p>
    <w:p w14:paraId="6683B577" w14:textId="77777777" w:rsidR="0073776B" w:rsidRPr="003F534D" w:rsidRDefault="0073776B" w:rsidP="0073776B">
      <w:pPr>
        <w:pStyle w:val="NoSpacing"/>
        <w:rPr>
          <w:rFonts w:ascii="Arial" w:hAnsi="Arial" w:cs="Arial"/>
        </w:rPr>
      </w:pPr>
      <w:r>
        <w:rPr>
          <w:rFonts w:ascii="Arial" w:hAnsi="Arial" w:cs="Arial"/>
        </w:rPr>
        <w:t>We aimed to establish inter-practice variability in the proportion of registrars’ consultations that are with older patients. We contextualized variability in older patient exposure by also establishing variability in the proportion of paediatric consultations.</w:t>
      </w:r>
    </w:p>
    <w:p w14:paraId="65D59408" w14:textId="77777777" w:rsidR="0073776B" w:rsidRPr="003F534D" w:rsidRDefault="0073776B" w:rsidP="0073776B">
      <w:pPr>
        <w:pStyle w:val="NoSpacing"/>
        <w:rPr>
          <w:rFonts w:ascii="Arial" w:hAnsi="Arial" w:cs="Arial"/>
        </w:rPr>
      </w:pPr>
    </w:p>
    <w:p w14:paraId="4D9CF622" w14:textId="77777777" w:rsidR="0073776B" w:rsidRPr="003F534D" w:rsidRDefault="0073776B" w:rsidP="0073776B">
      <w:pPr>
        <w:spacing w:after="0"/>
        <w:rPr>
          <w:rFonts w:ascii="Arial" w:hAnsi="Arial" w:cs="Arial"/>
          <w:b/>
        </w:rPr>
      </w:pPr>
      <w:r w:rsidRPr="003F534D">
        <w:rPr>
          <w:rFonts w:ascii="Arial" w:hAnsi="Arial" w:cs="Arial"/>
          <w:b/>
        </w:rPr>
        <w:t>Method</w:t>
      </w:r>
    </w:p>
    <w:p w14:paraId="78D2DD47" w14:textId="1ED0D613" w:rsidR="0073776B" w:rsidRDefault="0073776B" w:rsidP="0073776B">
      <w:pPr>
        <w:pStyle w:val="NoSpacing"/>
        <w:rPr>
          <w:rFonts w:ascii="Arial" w:hAnsi="Arial" w:cs="Arial"/>
        </w:rPr>
      </w:pPr>
      <w:r w:rsidRPr="00081C04">
        <w:rPr>
          <w:rFonts w:ascii="Arial" w:hAnsi="Arial" w:cs="Arial"/>
        </w:rPr>
        <w:t>A</w:t>
      </w:r>
      <w:r>
        <w:rPr>
          <w:rFonts w:ascii="Arial" w:hAnsi="Arial" w:cs="Arial"/>
        </w:rPr>
        <w:t xml:space="preserve">n analysis </w:t>
      </w:r>
      <w:r w:rsidRPr="00081C04">
        <w:rPr>
          <w:rFonts w:ascii="Arial" w:hAnsi="Arial" w:cs="Arial"/>
        </w:rPr>
        <w:t>from the ReCEnT cohort study</w:t>
      </w:r>
      <w:r>
        <w:rPr>
          <w:rFonts w:ascii="Arial" w:hAnsi="Arial" w:cs="Arial"/>
        </w:rPr>
        <w:t xml:space="preserve"> of registrars’ in-consultation practice including </w:t>
      </w:r>
      <w:r w:rsidR="000B68B4">
        <w:rPr>
          <w:rFonts w:ascii="Arial" w:hAnsi="Arial" w:cs="Arial"/>
        </w:rPr>
        <w:t>1,240 registrars and 288</w:t>
      </w:r>
      <w:r>
        <w:rPr>
          <w:rFonts w:ascii="Arial" w:hAnsi="Arial" w:cs="Arial"/>
        </w:rPr>
        <w:t xml:space="preserve"> practices</w:t>
      </w:r>
      <w:r w:rsidR="00AE1DFC">
        <w:rPr>
          <w:rFonts w:ascii="Arial" w:hAnsi="Arial" w:cs="Arial"/>
        </w:rPr>
        <w:t xml:space="preserve"> in five states</w:t>
      </w:r>
      <w:r w:rsidRPr="00081C04">
        <w:rPr>
          <w:rFonts w:ascii="Arial" w:hAnsi="Arial" w:cs="Arial"/>
        </w:rPr>
        <w:t>.</w:t>
      </w:r>
    </w:p>
    <w:p w14:paraId="4C7FDC83" w14:textId="77777777" w:rsidR="0073776B" w:rsidRPr="003F534D" w:rsidRDefault="0073776B" w:rsidP="0073776B">
      <w:pPr>
        <w:pStyle w:val="NoSpacing"/>
        <w:rPr>
          <w:rFonts w:ascii="Arial" w:hAnsi="Arial" w:cs="Arial"/>
        </w:rPr>
      </w:pPr>
      <w:r>
        <w:rPr>
          <w:rFonts w:ascii="Arial" w:hAnsi="Arial" w:cs="Arial"/>
        </w:rPr>
        <w:t xml:space="preserve">Outcome factors were consultations with patients aged 65+, and consultations with patients 18 years or younger. </w:t>
      </w:r>
      <w:r w:rsidRPr="0027531C">
        <w:rPr>
          <w:rFonts w:ascii="Arial" w:hAnsi="Arial" w:cs="Arial"/>
        </w:rPr>
        <w:t>Intra-class correlations (ICCs)</w:t>
      </w:r>
      <w:r>
        <w:rPr>
          <w:rFonts w:ascii="Arial" w:hAnsi="Arial" w:cs="Arial"/>
        </w:rPr>
        <w:t xml:space="preserve"> were calculated using m</w:t>
      </w:r>
      <w:r w:rsidRPr="00081C04">
        <w:rPr>
          <w:rFonts w:ascii="Arial" w:hAnsi="Arial" w:cs="Arial"/>
        </w:rPr>
        <w:t>ixed-effects logistic regression models, including random effects for registrar and practice</w:t>
      </w:r>
      <w:r>
        <w:rPr>
          <w:rFonts w:ascii="Arial" w:hAnsi="Arial" w:cs="Arial"/>
        </w:rPr>
        <w:t xml:space="preserve">, with further models constructed adding four groups of covariates (registrar, patient, consultation and practice factors) sequentially. </w:t>
      </w:r>
    </w:p>
    <w:p w14:paraId="603B60D5" w14:textId="77777777" w:rsidR="0073776B" w:rsidRPr="003F534D" w:rsidRDefault="0073776B" w:rsidP="0073776B">
      <w:pPr>
        <w:pStyle w:val="NoSpacing"/>
        <w:rPr>
          <w:rFonts w:ascii="Arial" w:hAnsi="Arial" w:cs="Arial"/>
        </w:rPr>
      </w:pPr>
    </w:p>
    <w:p w14:paraId="60FEC403" w14:textId="77777777" w:rsidR="0073776B" w:rsidRPr="003F534D" w:rsidRDefault="0073776B" w:rsidP="0073776B">
      <w:pPr>
        <w:spacing w:after="0"/>
        <w:rPr>
          <w:rFonts w:ascii="Arial" w:hAnsi="Arial" w:cs="Arial"/>
          <w:b/>
        </w:rPr>
      </w:pPr>
      <w:r w:rsidRPr="003F534D">
        <w:rPr>
          <w:rFonts w:ascii="Arial" w:hAnsi="Arial" w:cs="Arial"/>
          <w:b/>
        </w:rPr>
        <w:t>Results</w:t>
      </w:r>
    </w:p>
    <w:p w14:paraId="28B291DD" w14:textId="77777777" w:rsidR="0073776B" w:rsidRDefault="0073776B" w:rsidP="0073776B">
      <w:pPr>
        <w:pStyle w:val="NoSpacing"/>
        <w:rPr>
          <w:rFonts w:ascii="Arial" w:hAnsi="Arial" w:cs="Arial"/>
        </w:rPr>
      </w:pPr>
      <w:r>
        <w:rPr>
          <w:rFonts w:ascii="Arial" w:hAnsi="Arial" w:cs="Arial"/>
        </w:rPr>
        <w:t xml:space="preserve">For older patients, the ICC </w:t>
      </w:r>
      <w:r w:rsidRPr="0027531C">
        <w:rPr>
          <w:rFonts w:ascii="Arial" w:hAnsi="Arial" w:cs="Arial"/>
        </w:rPr>
        <w:t xml:space="preserve">was </w:t>
      </w:r>
      <w:r w:rsidRPr="0027531C">
        <w:rPr>
          <w:rFonts w:ascii="Arial" w:hAnsi="Arial" w:cs="Arial"/>
          <w:color w:val="000000"/>
        </w:rPr>
        <w:t>0.11</w:t>
      </w:r>
      <w:r>
        <w:rPr>
          <w:rFonts w:ascii="Arial" w:hAnsi="Arial" w:cs="Arial"/>
          <w:color w:val="000000"/>
        </w:rPr>
        <w:t xml:space="preserve">4 in the model with </w:t>
      </w:r>
      <w:r w:rsidRPr="00081C04">
        <w:rPr>
          <w:rFonts w:ascii="Arial" w:hAnsi="Arial" w:cs="Arial"/>
        </w:rPr>
        <w:t>random effects for registrar and practice</w:t>
      </w:r>
      <w:r>
        <w:rPr>
          <w:rFonts w:ascii="Arial" w:hAnsi="Arial" w:cs="Arial"/>
        </w:rPr>
        <w:t>, and 0.082 in the model including all covariates.</w:t>
      </w:r>
    </w:p>
    <w:p w14:paraId="65929EE7" w14:textId="77777777" w:rsidR="0073776B" w:rsidRPr="0027531C" w:rsidRDefault="0073776B" w:rsidP="0073776B">
      <w:pPr>
        <w:pStyle w:val="NoSpacing"/>
        <w:rPr>
          <w:rFonts w:ascii="Arial" w:hAnsi="Arial" w:cs="Arial"/>
        </w:rPr>
      </w:pPr>
      <w:r>
        <w:rPr>
          <w:rFonts w:ascii="Arial" w:hAnsi="Arial" w:cs="Arial"/>
        </w:rPr>
        <w:t>For paediatric patients, the corresponding ICCs were 0.043 and 0.025</w:t>
      </w:r>
    </w:p>
    <w:p w14:paraId="44E6F908" w14:textId="77777777" w:rsidR="0073776B" w:rsidRPr="003F534D" w:rsidRDefault="0073776B" w:rsidP="0073776B">
      <w:pPr>
        <w:pStyle w:val="NoSpacing"/>
        <w:rPr>
          <w:rFonts w:ascii="Arial" w:hAnsi="Arial" w:cs="Arial"/>
        </w:rPr>
      </w:pPr>
    </w:p>
    <w:p w14:paraId="6BEC7E12" w14:textId="77777777" w:rsidR="0073776B" w:rsidRPr="003F534D" w:rsidRDefault="0073776B" w:rsidP="0073776B">
      <w:pPr>
        <w:pStyle w:val="NoSpacing"/>
        <w:rPr>
          <w:rFonts w:ascii="Arial" w:hAnsi="Arial" w:cs="Arial"/>
        </w:rPr>
      </w:pPr>
    </w:p>
    <w:p w14:paraId="6AAD7465" w14:textId="77777777" w:rsidR="0073776B" w:rsidRPr="003F534D" w:rsidRDefault="0073776B" w:rsidP="0073776B">
      <w:pPr>
        <w:spacing w:after="0"/>
        <w:rPr>
          <w:rFonts w:ascii="Arial" w:hAnsi="Arial" w:cs="Arial"/>
          <w:b/>
        </w:rPr>
      </w:pPr>
      <w:r w:rsidRPr="003F534D">
        <w:rPr>
          <w:rFonts w:ascii="Arial" w:hAnsi="Arial" w:cs="Arial"/>
          <w:b/>
        </w:rPr>
        <w:t>Conclusion</w:t>
      </w:r>
    </w:p>
    <w:p w14:paraId="1B572A46" w14:textId="5EE96CFB" w:rsidR="0073776B" w:rsidRDefault="0073776B" w:rsidP="0073776B">
      <w:pPr>
        <w:pStyle w:val="NoSpacing"/>
        <w:rPr>
          <w:rFonts w:ascii="Arial" w:hAnsi="Arial" w:cs="Arial"/>
        </w:rPr>
      </w:pPr>
      <w:r>
        <w:rPr>
          <w:rFonts w:ascii="Arial" w:hAnsi="Arial" w:cs="Arial"/>
        </w:rPr>
        <w:t xml:space="preserve">There is marked variability </w:t>
      </w:r>
      <w:r w:rsidR="00052993">
        <w:rPr>
          <w:rFonts w:ascii="Arial" w:hAnsi="Arial" w:cs="Arial"/>
        </w:rPr>
        <w:t>i</w:t>
      </w:r>
      <w:r>
        <w:rPr>
          <w:rFonts w:ascii="Arial" w:hAnsi="Arial" w:cs="Arial"/>
        </w:rPr>
        <w:t xml:space="preserve">n GP registrars’ exposure to older patient care </w:t>
      </w:r>
      <w:r w:rsidR="00006AA1">
        <w:rPr>
          <w:rFonts w:ascii="Arial" w:hAnsi="Arial" w:cs="Arial"/>
        </w:rPr>
        <w:t>across</w:t>
      </w:r>
      <w:r>
        <w:rPr>
          <w:rFonts w:ascii="Arial" w:hAnsi="Arial" w:cs="Arial"/>
        </w:rPr>
        <w:t xml:space="preserve"> training practices. This has potential to exacerbate an already problematic aspect of GP training.</w:t>
      </w:r>
    </w:p>
    <w:p w14:paraId="035FE059" w14:textId="579684C2" w:rsidR="007A3219" w:rsidRPr="00F12827" w:rsidRDefault="007A3219" w:rsidP="00A364F0">
      <w:pPr>
        <w:spacing w:after="0"/>
        <w:rPr>
          <w:rFonts w:cs="Arial"/>
        </w:rPr>
      </w:pP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E497" w14:textId="77777777" w:rsidR="00B259FF" w:rsidRDefault="00B259FF" w:rsidP="00DB6276">
      <w:pPr>
        <w:spacing w:after="0" w:line="240" w:lineRule="auto"/>
      </w:pPr>
      <w:r>
        <w:separator/>
      </w:r>
    </w:p>
  </w:endnote>
  <w:endnote w:type="continuationSeparator" w:id="0">
    <w:p w14:paraId="528E15A1" w14:textId="77777777" w:rsidR="00B259FF" w:rsidRDefault="00B259FF"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76E4" w14:textId="77777777" w:rsidR="00B259FF" w:rsidRDefault="00B259FF" w:rsidP="00DB6276">
      <w:pPr>
        <w:spacing w:after="0" w:line="240" w:lineRule="auto"/>
      </w:pPr>
      <w:r>
        <w:separator/>
      </w:r>
    </w:p>
  </w:footnote>
  <w:footnote w:type="continuationSeparator" w:id="0">
    <w:p w14:paraId="20B84978" w14:textId="77777777" w:rsidR="00B259FF" w:rsidRDefault="00B259FF"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06AA1"/>
    <w:rsid w:val="00052993"/>
    <w:rsid w:val="0005308A"/>
    <w:rsid w:val="000530F3"/>
    <w:rsid w:val="0006205D"/>
    <w:rsid w:val="00063F74"/>
    <w:rsid w:val="00065794"/>
    <w:rsid w:val="00081C04"/>
    <w:rsid w:val="0009481D"/>
    <w:rsid w:val="000A005C"/>
    <w:rsid w:val="000B68B4"/>
    <w:rsid w:val="000D1EB3"/>
    <w:rsid w:val="000D5F74"/>
    <w:rsid w:val="0014745E"/>
    <w:rsid w:val="001A0E12"/>
    <w:rsid w:val="001A7273"/>
    <w:rsid w:val="00204AE2"/>
    <w:rsid w:val="002061A7"/>
    <w:rsid w:val="00226C37"/>
    <w:rsid w:val="00237188"/>
    <w:rsid w:val="0027531C"/>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5E34CB"/>
    <w:rsid w:val="006150A8"/>
    <w:rsid w:val="00634A5F"/>
    <w:rsid w:val="00634D25"/>
    <w:rsid w:val="00687FF6"/>
    <w:rsid w:val="006D10CF"/>
    <w:rsid w:val="00715154"/>
    <w:rsid w:val="007340C2"/>
    <w:rsid w:val="0073776B"/>
    <w:rsid w:val="007A3219"/>
    <w:rsid w:val="007A4975"/>
    <w:rsid w:val="007E1F5F"/>
    <w:rsid w:val="008426B4"/>
    <w:rsid w:val="00856715"/>
    <w:rsid w:val="00866BFD"/>
    <w:rsid w:val="008A6431"/>
    <w:rsid w:val="008D7BF0"/>
    <w:rsid w:val="00937FEB"/>
    <w:rsid w:val="0098351A"/>
    <w:rsid w:val="00984CE1"/>
    <w:rsid w:val="00995919"/>
    <w:rsid w:val="009C7760"/>
    <w:rsid w:val="009F35F0"/>
    <w:rsid w:val="00A06D50"/>
    <w:rsid w:val="00A12B60"/>
    <w:rsid w:val="00A270EE"/>
    <w:rsid w:val="00A364F0"/>
    <w:rsid w:val="00A37C03"/>
    <w:rsid w:val="00A4054A"/>
    <w:rsid w:val="00A572DE"/>
    <w:rsid w:val="00A606C7"/>
    <w:rsid w:val="00A80054"/>
    <w:rsid w:val="00A848B4"/>
    <w:rsid w:val="00AA6275"/>
    <w:rsid w:val="00AA7219"/>
    <w:rsid w:val="00AC7F73"/>
    <w:rsid w:val="00AE1DFC"/>
    <w:rsid w:val="00AE3EEF"/>
    <w:rsid w:val="00AE5A5E"/>
    <w:rsid w:val="00B03208"/>
    <w:rsid w:val="00B12D26"/>
    <w:rsid w:val="00B20279"/>
    <w:rsid w:val="00B259FF"/>
    <w:rsid w:val="00B730A7"/>
    <w:rsid w:val="00B95769"/>
    <w:rsid w:val="00BD3208"/>
    <w:rsid w:val="00BD72AD"/>
    <w:rsid w:val="00BF17C3"/>
    <w:rsid w:val="00C1361C"/>
    <w:rsid w:val="00C218BD"/>
    <w:rsid w:val="00C3505E"/>
    <w:rsid w:val="00C4224F"/>
    <w:rsid w:val="00C426BE"/>
    <w:rsid w:val="00C9188D"/>
    <w:rsid w:val="00CA4098"/>
    <w:rsid w:val="00CB29F7"/>
    <w:rsid w:val="00CD4A7B"/>
    <w:rsid w:val="00D22221"/>
    <w:rsid w:val="00D56905"/>
    <w:rsid w:val="00D675D7"/>
    <w:rsid w:val="00D75A93"/>
    <w:rsid w:val="00D91638"/>
    <w:rsid w:val="00D94D46"/>
    <w:rsid w:val="00D96ECE"/>
    <w:rsid w:val="00DB6276"/>
    <w:rsid w:val="00DC7A66"/>
    <w:rsid w:val="00DD428F"/>
    <w:rsid w:val="00DE0E61"/>
    <w:rsid w:val="00DF0D18"/>
    <w:rsid w:val="00DF2A39"/>
    <w:rsid w:val="00E06E1A"/>
    <w:rsid w:val="00E25F07"/>
    <w:rsid w:val="00E276B8"/>
    <w:rsid w:val="00E27C34"/>
    <w:rsid w:val="00E36586"/>
    <w:rsid w:val="00E47129"/>
    <w:rsid w:val="00E47A4C"/>
    <w:rsid w:val="00E55FB0"/>
    <w:rsid w:val="00E84368"/>
    <w:rsid w:val="00E969FA"/>
    <w:rsid w:val="00EA51A6"/>
    <w:rsid w:val="00EC46E6"/>
    <w:rsid w:val="00ED7C3D"/>
    <w:rsid w:val="00EE417F"/>
    <w:rsid w:val="00F01F72"/>
    <w:rsid w:val="00F02F87"/>
    <w:rsid w:val="00F12827"/>
    <w:rsid w:val="00F21792"/>
    <w:rsid w:val="00F720BA"/>
    <w:rsid w:val="00F75019"/>
    <w:rsid w:val="00F76D2A"/>
    <w:rsid w:val="00F903F1"/>
    <w:rsid w:val="00FA1A9A"/>
    <w:rsid w:val="00FC6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D5B53"/>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88D"/>
    <w:rPr>
      <w:sz w:val="16"/>
      <w:szCs w:val="16"/>
    </w:rPr>
  </w:style>
  <w:style w:type="paragraph" w:styleId="CommentText">
    <w:name w:val="annotation text"/>
    <w:basedOn w:val="Normal"/>
    <w:link w:val="CommentTextChar"/>
    <w:uiPriority w:val="99"/>
    <w:semiHidden/>
    <w:unhideWhenUsed/>
    <w:rsid w:val="00C9188D"/>
    <w:pPr>
      <w:spacing w:line="240" w:lineRule="auto"/>
    </w:pPr>
    <w:rPr>
      <w:sz w:val="20"/>
      <w:szCs w:val="20"/>
    </w:rPr>
  </w:style>
  <w:style w:type="character" w:customStyle="1" w:styleId="CommentTextChar">
    <w:name w:val="Comment Text Char"/>
    <w:basedOn w:val="DefaultParagraphFont"/>
    <w:link w:val="CommentText"/>
    <w:uiPriority w:val="99"/>
    <w:semiHidden/>
    <w:rsid w:val="00C9188D"/>
    <w:rPr>
      <w:sz w:val="20"/>
      <w:szCs w:val="20"/>
    </w:rPr>
  </w:style>
  <w:style w:type="paragraph" w:styleId="CommentSubject">
    <w:name w:val="annotation subject"/>
    <w:basedOn w:val="CommentText"/>
    <w:next w:val="CommentText"/>
    <w:link w:val="CommentSubjectChar"/>
    <w:uiPriority w:val="99"/>
    <w:semiHidden/>
    <w:unhideWhenUsed/>
    <w:rsid w:val="00C9188D"/>
    <w:rPr>
      <w:b/>
      <w:bCs/>
    </w:rPr>
  </w:style>
  <w:style w:type="character" w:customStyle="1" w:styleId="CommentSubjectChar">
    <w:name w:val="Comment Subject Char"/>
    <w:basedOn w:val="CommentTextChar"/>
    <w:link w:val="CommentSubject"/>
    <w:uiPriority w:val="99"/>
    <w:semiHidden/>
    <w:rsid w:val="00C9188D"/>
    <w:rPr>
      <w:b/>
      <w:bCs/>
      <w:sz w:val="20"/>
      <w:szCs w:val="20"/>
    </w:rPr>
  </w:style>
  <w:style w:type="paragraph" w:styleId="BalloonText">
    <w:name w:val="Balloon Text"/>
    <w:basedOn w:val="Normal"/>
    <w:link w:val="BalloonTextChar"/>
    <w:uiPriority w:val="99"/>
    <w:semiHidden/>
    <w:unhideWhenUsed/>
    <w:rsid w:val="00C91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Melissa Avard</cp:lastModifiedBy>
  <cp:revision>3</cp:revision>
  <dcterms:created xsi:type="dcterms:W3CDTF">2018-03-04T03:51:00Z</dcterms:created>
  <dcterms:modified xsi:type="dcterms:W3CDTF">2018-03-04T03:51:00Z</dcterms:modified>
</cp:coreProperties>
</file>