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26" w:rsidRPr="003F534D" w:rsidRDefault="00B12D26" w:rsidP="00B12D2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 1 hour oral session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969FA" w:rsidRDefault="00E969FA" w:rsidP="00E969FA">
      <w:pPr>
        <w:spacing w:after="0"/>
        <w:rPr>
          <w:rFonts w:ascii="Arial" w:hAnsi="Arial" w:cs="Arial"/>
        </w:rPr>
      </w:pPr>
    </w:p>
    <w:p w:rsidR="00C708DE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Pr="00C708DE" w:rsidRDefault="00E02D25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C708DE">
        <w:rPr>
          <w:rFonts w:ascii="Arial" w:hAnsi="Arial" w:cs="Arial"/>
        </w:rPr>
        <w:t>Look i</w:t>
      </w:r>
      <w:r w:rsidRPr="00C708DE">
        <w:rPr>
          <w:rFonts w:ascii="Arial" w:hAnsi="Arial" w:cs="Arial"/>
        </w:rPr>
        <w:t xml:space="preserve">nto </w:t>
      </w:r>
      <w:r w:rsidR="00C708DE">
        <w:rPr>
          <w:rFonts w:ascii="Arial" w:hAnsi="Arial" w:cs="Arial"/>
        </w:rPr>
        <w:t>my eyes</w:t>
      </w:r>
      <w:r w:rsidR="00BF57F7" w:rsidRPr="00C708DE">
        <w:rPr>
          <w:rFonts w:ascii="Arial" w:hAnsi="Arial" w:cs="Arial"/>
        </w:rPr>
        <w:t xml:space="preserve"> – Common </w:t>
      </w:r>
      <w:r w:rsidR="00C708DE">
        <w:rPr>
          <w:rFonts w:ascii="Arial" w:hAnsi="Arial" w:cs="Arial"/>
        </w:rPr>
        <w:t>o</w:t>
      </w:r>
      <w:r w:rsidR="007209A0" w:rsidRPr="00C708DE">
        <w:rPr>
          <w:rFonts w:ascii="Arial" w:hAnsi="Arial" w:cs="Arial"/>
        </w:rPr>
        <w:t xml:space="preserve">cular </w:t>
      </w:r>
      <w:r w:rsidR="00C708DE">
        <w:rPr>
          <w:rFonts w:ascii="Arial" w:hAnsi="Arial" w:cs="Arial"/>
        </w:rPr>
        <w:t>p</w:t>
      </w:r>
      <w:r w:rsidRPr="00C708DE">
        <w:rPr>
          <w:rFonts w:ascii="Arial" w:hAnsi="Arial" w:cs="Arial"/>
        </w:rPr>
        <w:t>resentations</w:t>
      </w:r>
      <w:r w:rsidR="00BF57F7" w:rsidRPr="00C708DE">
        <w:rPr>
          <w:rFonts w:ascii="Arial" w:hAnsi="Arial" w:cs="Arial"/>
        </w:rPr>
        <w:t xml:space="preserve"> </w:t>
      </w:r>
      <w:r w:rsidR="00C36D86">
        <w:rPr>
          <w:rFonts w:ascii="Arial" w:hAnsi="Arial" w:cs="Arial"/>
        </w:rPr>
        <w:t>and how to m</w:t>
      </w:r>
      <w:r w:rsidRPr="00C708DE">
        <w:rPr>
          <w:rFonts w:ascii="Arial" w:hAnsi="Arial" w:cs="Arial"/>
        </w:rPr>
        <w:t xml:space="preserve">anage </w:t>
      </w:r>
      <w:r w:rsidR="00C36D86">
        <w:rPr>
          <w:rFonts w:ascii="Arial" w:hAnsi="Arial" w:cs="Arial"/>
        </w:rPr>
        <w:t>t</w:t>
      </w:r>
      <w:r w:rsidRPr="00C708DE">
        <w:rPr>
          <w:rFonts w:ascii="Arial" w:hAnsi="Arial" w:cs="Arial"/>
        </w:rPr>
        <w:t>hem</w:t>
      </w: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BF57F7" w:rsidRDefault="00BF57F7" w:rsidP="00C708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Roman Serebrianik </w:t>
      </w:r>
    </w:p>
    <w:p w:rsidR="00BF57F7" w:rsidRPr="00C708DE" w:rsidRDefault="00BF57F7" w:rsidP="00C708DE">
      <w:pPr>
        <w:spacing w:line="240" w:lineRule="auto"/>
        <w:rPr>
          <w:rFonts w:ascii="Arial" w:hAnsi="Arial" w:cs="Arial"/>
        </w:rPr>
      </w:pPr>
      <w:r w:rsidRPr="00C708DE">
        <w:rPr>
          <w:rFonts w:ascii="Arial" w:hAnsi="Arial" w:cs="Arial"/>
        </w:rPr>
        <w:t>Head of Primary and Specialist Eye Care Services, Australian College of Optometry (Melbourne, VIC)</w:t>
      </w:r>
    </w:p>
    <w:p w:rsidR="005C4F93" w:rsidRPr="00C708DE" w:rsidRDefault="00BF57F7" w:rsidP="00C708DE">
      <w:pPr>
        <w:spacing w:line="240" w:lineRule="auto"/>
        <w:rPr>
          <w:rFonts w:ascii="Arial" w:hAnsi="Arial" w:cs="Arial"/>
        </w:rPr>
      </w:pPr>
      <w:r w:rsidRPr="00C708DE">
        <w:rPr>
          <w:rFonts w:ascii="Arial" w:hAnsi="Arial" w:cs="Arial"/>
        </w:rPr>
        <w:t>Adjunct Lecturer – Flinders University, Department of Optometry &amp; Vision Science (Flinders University, Adelaide, SA)</w:t>
      </w: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A90403" w:rsidP="00C708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Patients with eye </w:t>
      </w:r>
      <w:r w:rsidR="00E02D25">
        <w:rPr>
          <w:rFonts w:ascii="Arial" w:hAnsi="Arial" w:cs="Arial"/>
        </w:rPr>
        <w:t>complaints</w:t>
      </w:r>
      <w:r>
        <w:rPr>
          <w:rFonts w:ascii="Arial" w:hAnsi="Arial" w:cs="Arial"/>
        </w:rPr>
        <w:t xml:space="preserve"> frequently present to GPs seeking diagnosis, triage and </w:t>
      </w:r>
      <w:r w:rsidR="00E02D25">
        <w:rPr>
          <w:rFonts w:ascii="Arial" w:hAnsi="Arial" w:cs="Arial"/>
        </w:rPr>
        <w:t>necessary</w:t>
      </w:r>
      <w:r>
        <w:rPr>
          <w:rFonts w:ascii="Arial" w:hAnsi="Arial" w:cs="Arial"/>
        </w:rPr>
        <w:t xml:space="preserve"> management.  </w:t>
      </w:r>
      <w:r w:rsidR="009D47F4">
        <w:rPr>
          <w:rFonts w:ascii="Arial" w:hAnsi="Arial" w:cs="Arial"/>
        </w:rPr>
        <w:t xml:space="preserve">Due to a lack of </w:t>
      </w:r>
      <w:r w:rsidR="00E02D25">
        <w:rPr>
          <w:rFonts w:ascii="Arial" w:hAnsi="Arial" w:cs="Arial"/>
        </w:rPr>
        <w:t>appropriate</w:t>
      </w:r>
      <w:r w:rsidR="009D47F4">
        <w:rPr>
          <w:rFonts w:ascii="Arial" w:hAnsi="Arial" w:cs="Arial"/>
        </w:rPr>
        <w:t xml:space="preserve"> training or non-availability of specialised equipment, ocular</w:t>
      </w:r>
      <w:r w:rsidR="00E02D25">
        <w:rPr>
          <w:rFonts w:ascii="Arial" w:hAnsi="Arial" w:cs="Arial"/>
        </w:rPr>
        <w:t xml:space="preserve"> complaints and</w:t>
      </w:r>
      <w:r w:rsidR="009D47F4">
        <w:rPr>
          <w:rFonts w:ascii="Arial" w:hAnsi="Arial" w:cs="Arial"/>
        </w:rPr>
        <w:t xml:space="preserve"> emergencies may </w:t>
      </w:r>
      <w:r w:rsidR="00E02D25">
        <w:rPr>
          <w:rFonts w:ascii="Arial" w:hAnsi="Arial" w:cs="Arial"/>
        </w:rPr>
        <w:t>present</w:t>
      </w:r>
      <w:r w:rsidR="009D47F4">
        <w:rPr>
          <w:rFonts w:ascii="Arial" w:hAnsi="Arial" w:cs="Arial"/>
        </w:rPr>
        <w:t xml:space="preserve"> real diagnostic challenges to many </w:t>
      </w:r>
      <w:r w:rsidR="00C708DE">
        <w:rPr>
          <w:rFonts w:ascii="Arial" w:hAnsi="Arial" w:cs="Arial"/>
        </w:rPr>
        <w:t>GPs in r</w:t>
      </w:r>
      <w:r w:rsidR="009D47F4">
        <w:rPr>
          <w:rFonts w:ascii="Arial" w:hAnsi="Arial" w:cs="Arial"/>
        </w:rPr>
        <w:t xml:space="preserve">ural and </w:t>
      </w:r>
      <w:r w:rsidR="00C708DE">
        <w:rPr>
          <w:rFonts w:ascii="Arial" w:hAnsi="Arial" w:cs="Arial"/>
        </w:rPr>
        <w:t>remote communities</w:t>
      </w:r>
      <w:r w:rsidR="009D47F4">
        <w:rPr>
          <w:rFonts w:ascii="Arial" w:hAnsi="Arial" w:cs="Arial"/>
        </w:rPr>
        <w:t xml:space="preserve">.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C708DE" w:rsidP="00C708DE">
      <w:pPr>
        <w:pStyle w:val="NoSpacing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To</w:t>
      </w:r>
      <w:r w:rsidR="007209A0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 xml:space="preserve">rural and remote </w:t>
      </w:r>
      <w:r w:rsidR="007209A0">
        <w:rPr>
          <w:rFonts w:ascii="Arial" w:hAnsi="Arial" w:cs="Arial"/>
        </w:rPr>
        <w:t xml:space="preserve">GPs with </w:t>
      </w:r>
      <w:r w:rsidR="006512EC">
        <w:rPr>
          <w:rFonts w:ascii="Arial" w:hAnsi="Arial" w:cs="Arial"/>
        </w:rPr>
        <w:t xml:space="preserve">practical </w:t>
      </w:r>
      <w:r w:rsidR="007209A0">
        <w:rPr>
          <w:rFonts w:ascii="Arial" w:hAnsi="Arial" w:cs="Arial"/>
        </w:rPr>
        <w:t>knowledge, resources and confidence to competently manage</w:t>
      </w:r>
      <w:r w:rsidR="00E02D25">
        <w:rPr>
          <w:rFonts w:ascii="Arial" w:hAnsi="Arial" w:cs="Arial"/>
        </w:rPr>
        <w:t xml:space="preserve"> common</w:t>
      </w:r>
      <w:r w:rsidR="007209A0">
        <w:rPr>
          <w:rFonts w:ascii="Arial" w:hAnsi="Arial" w:cs="Arial"/>
        </w:rPr>
        <w:t xml:space="preserve"> eye</w:t>
      </w:r>
      <w:r w:rsidR="00E02D25">
        <w:rPr>
          <w:rFonts w:ascii="Arial" w:hAnsi="Arial" w:cs="Arial"/>
        </w:rPr>
        <w:t xml:space="preserve"> presentations and</w:t>
      </w:r>
      <w:r w:rsidR="007209A0">
        <w:rPr>
          <w:rFonts w:ascii="Arial" w:hAnsi="Arial" w:cs="Arial"/>
        </w:rPr>
        <w:t xml:space="preserve"> emergencies.</w:t>
      </w:r>
    </w:p>
    <w:bookmarkEnd w:id="0"/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6512EC" w:rsidRDefault="006512EC" w:rsidP="00C708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didactic presentation will encompass basic ocular anatomy, history taking, examination techniques and clinical case scenarios. </w:t>
      </w:r>
    </w:p>
    <w:p w:rsidR="006512EC" w:rsidRDefault="006512EC" w:rsidP="00C708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Signs and symptoms of common eye presentations; clinical guidelines for appropriate triage and management will also be covered</w:t>
      </w:r>
      <w:r w:rsidR="00C708DE">
        <w:rPr>
          <w:rFonts w:ascii="Arial" w:hAnsi="Arial" w:cs="Arial"/>
        </w:rPr>
        <w:t>.</w:t>
      </w:r>
    </w:p>
    <w:p w:rsidR="00E969FA" w:rsidRPr="006512EC" w:rsidRDefault="00E969FA" w:rsidP="006512EC">
      <w:pPr>
        <w:pStyle w:val="NoSpacing"/>
        <w:ind w:left="72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Pr="0010194E" w:rsidRDefault="0010194E" w:rsidP="00C708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GPs will gain knowledge, </w:t>
      </w:r>
      <w:r w:rsidR="006512EC" w:rsidRPr="0010194E">
        <w:rPr>
          <w:rFonts w:ascii="Arial" w:hAnsi="Arial" w:cs="Arial"/>
        </w:rPr>
        <w:t>practical strategies</w:t>
      </w:r>
      <w:r>
        <w:rPr>
          <w:rFonts w:ascii="Arial" w:hAnsi="Arial" w:cs="Arial"/>
        </w:rPr>
        <w:t xml:space="preserve"> and clinical resources</w:t>
      </w:r>
      <w:r w:rsidR="006512EC" w:rsidRPr="0010194E">
        <w:rPr>
          <w:rFonts w:ascii="Arial" w:hAnsi="Arial" w:cs="Arial"/>
        </w:rPr>
        <w:t xml:space="preserve"> for dealing with common ocular presentations and emergencies.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3F534D" w:rsidRDefault="0010194E" w:rsidP="00C708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Increasing GPs’ knowledge and competence in examining and managing ocular presentations will enhance public health care and improve eye health outcomes in </w:t>
      </w:r>
      <w:r w:rsidR="00C708DE">
        <w:rPr>
          <w:rFonts w:ascii="Arial" w:hAnsi="Arial" w:cs="Arial"/>
        </w:rPr>
        <w:t xml:space="preserve">rural and remote </w:t>
      </w:r>
      <w:r>
        <w:rPr>
          <w:rFonts w:ascii="Arial" w:hAnsi="Arial" w:cs="Arial"/>
        </w:rPr>
        <w:t>communities where access to specialised eye-care practitioners may be limited.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 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EC" w:rsidRDefault="006512EC" w:rsidP="00DB6276">
      <w:pPr>
        <w:spacing w:after="0" w:line="240" w:lineRule="auto"/>
      </w:pPr>
      <w:r>
        <w:separator/>
      </w:r>
    </w:p>
  </w:endnote>
  <w:endnote w:type="continuationSeparator" w:id="0">
    <w:p w:rsidR="006512EC" w:rsidRDefault="006512EC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EC" w:rsidRDefault="006512EC" w:rsidP="00DB6276">
      <w:pPr>
        <w:spacing w:after="0" w:line="240" w:lineRule="auto"/>
      </w:pPr>
      <w:r>
        <w:separator/>
      </w:r>
    </w:p>
  </w:footnote>
  <w:footnote w:type="continuationSeparator" w:id="0">
    <w:p w:rsidR="006512EC" w:rsidRDefault="006512EC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D57B6"/>
    <w:multiLevelType w:val="hybridMultilevel"/>
    <w:tmpl w:val="194AA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5B2229"/>
    <w:multiLevelType w:val="hybridMultilevel"/>
    <w:tmpl w:val="803AC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47550"/>
    <w:multiLevelType w:val="hybridMultilevel"/>
    <w:tmpl w:val="E3CA3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7"/>
  </w:num>
  <w:num w:numId="5">
    <w:abstractNumId w:val="13"/>
  </w:num>
  <w:num w:numId="6">
    <w:abstractNumId w:val="24"/>
  </w:num>
  <w:num w:numId="7">
    <w:abstractNumId w:val="8"/>
  </w:num>
  <w:num w:numId="8">
    <w:abstractNumId w:val="14"/>
  </w:num>
  <w:num w:numId="9">
    <w:abstractNumId w:val="7"/>
  </w:num>
  <w:num w:numId="10">
    <w:abstractNumId w:val="23"/>
  </w:num>
  <w:num w:numId="11">
    <w:abstractNumId w:val="15"/>
  </w:num>
  <w:num w:numId="12">
    <w:abstractNumId w:val="5"/>
  </w:num>
  <w:num w:numId="13">
    <w:abstractNumId w:val="0"/>
  </w:num>
  <w:num w:numId="14">
    <w:abstractNumId w:val="26"/>
  </w:num>
  <w:num w:numId="15">
    <w:abstractNumId w:val="1"/>
  </w:num>
  <w:num w:numId="16">
    <w:abstractNumId w:val="17"/>
  </w:num>
  <w:num w:numId="17">
    <w:abstractNumId w:val="4"/>
  </w:num>
  <w:num w:numId="18">
    <w:abstractNumId w:val="22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12"/>
  </w:num>
  <w:num w:numId="25">
    <w:abstractNumId w:val="28"/>
  </w:num>
  <w:num w:numId="26">
    <w:abstractNumId w:val="29"/>
  </w:num>
  <w:num w:numId="27">
    <w:abstractNumId w:val="2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0194E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0E3A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512EC"/>
    <w:rsid w:val="00687FF6"/>
    <w:rsid w:val="006D10CF"/>
    <w:rsid w:val="00701D4F"/>
    <w:rsid w:val="007209A0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9D47F4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90403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BF57F7"/>
    <w:rsid w:val="00C218BD"/>
    <w:rsid w:val="00C3505E"/>
    <w:rsid w:val="00C36D86"/>
    <w:rsid w:val="00C4224F"/>
    <w:rsid w:val="00C426BE"/>
    <w:rsid w:val="00C708DE"/>
    <w:rsid w:val="00CA4098"/>
    <w:rsid w:val="00CF42E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02D25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2F05C9A-89F4-4070-A843-B578432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EC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Kirstie Perry</cp:lastModifiedBy>
  <cp:revision>3</cp:revision>
  <dcterms:created xsi:type="dcterms:W3CDTF">2018-02-26T03:50:00Z</dcterms:created>
  <dcterms:modified xsi:type="dcterms:W3CDTF">2018-02-28T22:51:00Z</dcterms:modified>
</cp:coreProperties>
</file>