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5971E" w14:textId="370B74A7" w:rsidR="00B12D26" w:rsidRPr="003F534D" w:rsidRDefault="00B12D26" w:rsidP="00B12D26">
      <w:pPr>
        <w:spacing w:after="0"/>
        <w:jc w:val="both"/>
        <w:rPr>
          <w:rFonts w:ascii="Arial" w:hAnsi="Arial" w:cs="Arial"/>
          <w:b/>
          <w:sz w:val="28"/>
          <w:szCs w:val="28"/>
        </w:rPr>
      </w:pPr>
      <w:r>
        <w:rPr>
          <w:rFonts w:ascii="Arial" w:hAnsi="Arial" w:cs="Arial"/>
          <w:b/>
          <w:sz w:val="28"/>
          <w:szCs w:val="28"/>
        </w:rPr>
        <w:t>Abstract Submission</w:t>
      </w:r>
      <w:r w:rsidR="00F21792">
        <w:rPr>
          <w:rFonts w:ascii="Arial" w:hAnsi="Arial" w:cs="Arial"/>
          <w:b/>
          <w:sz w:val="28"/>
          <w:szCs w:val="28"/>
        </w:rPr>
        <w:t xml:space="preserve"> </w:t>
      </w:r>
      <w:r w:rsidR="00204AE2">
        <w:rPr>
          <w:rFonts w:ascii="Arial" w:hAnsi="Arial" w:cs="Arial"/>
          <w:b/>
          <w:sz w:val="28"/>
          <w:szCs w:val="28"/>
        </w:rPr>
        <w:t xml:space="preserve">–30 minute, </w:t>
      </w:r>
    </w:p>
    <w:p w14:paraId="3B9EDD64" w14:textId="77777777" w:rsidR="00E969FA" w:rsidRDefault="00E969FA" w:rsidP="00E969FA">
      <w:pPr>
        <w:spacing w:after="0"/>
        <w:rPr>
          <w:rFonts w:ascii="Arial" w:hAnsi="Arial" w:cs="Arial"/>
        </w:rPr>
      </w:pPr>
    </w:p>
    <w:p w14:paraId="58A008EA" w14:textId="39A40FA5" w:rsidR="005C4F93" w:rsidRDefault="005C4F93" w:rsidP="00E969FA">
      <w:pPr>
        <w:spacing w:after="0"/>
        <w:rPr>
          <w:rFonts w:ascii="Arial" w:hAnsi="Arial" w:cs="Arial"/>
          <w:b/>
        </w:rPr>
      </w:pPr>
      <w:r w:rsidRPr="005C4F93">
        <w:rPr>
          <w:rFonts w:ascii="Arial" w:hAnsi="Arial" w:cs="Arial"/>
          <w:b/>
        </w:rPr>
        <w:t>Title</w:t>
      </w:r>
      <w:r w:rsidR="00042FF2">
        <w:rPr>
          <w:rFonts w:ascii="Arial" w:hAnsi="Arial" w:cs="Arial"/>
          <w:b/>
        </w:rPr>
        <w:t xml:space="preserve"> </w:t>
      </w:r>
      <w:r w:rsidR="00042FF2">
        <w:rPr>
          <w:rFonts w:ascii="Arial" w:hAnsi="Arial" w:cs="Arial"/>
          <w:b/>
        </w:rPr>
        <w:tab/>
      </w:r>
      <w:r w:rsidR="004A0B94">
        <w:rPr>
          <w:rFonts w:ascii="Arial" w:hAnsi="Arial" w:cs="Arial"/>
          <w:b/>
        </w:rPr>
        <w:t xml:space="preserve">A General Practice based indicator for </w:t>
      </w:r>
      <w:r w:rsidR="00042FF2">
        <w:rPr>
          <w:rFonts w:ascii="Arial" w:hAnsi="Arial" w:cs="Arial"/>
          <w:b/>
        </w:rPr>
        <w:t>Potentially Preventable Hospital Admissions</w:t>
      </w:r>
    </w:p>
    <w:p w14:paraId="0E82CCB5" w14:textId="676991EA" w:rsidR="005C4F93" w:rsidRDefault="004A0B94" w:rsidP="00E969FA">
      <w:pPr>
        <w:spacing w:after="0"/>
        <w:rPr>
          <w:rFonts w:ascii="Arial" w:hAnsi="Arial" w:cs="Arial"/>
        </w:rPr>
      </w:pPr>
      <w:r>
        <w:rPr>
          <w:rFonts w:ascii="Arial" w:hAnsi="Arial" w:cs="Arial"/>
        </w:rPr>
        <w:t>Streams – Healthy GP, Healthy Nation</w:t>
      </w:r>
    </w:p>
    <w:p w14:paraId="4AF3EB1C" w14:textId="77777777" w:rsidR="005C4F93" w:rsidRPr="005C4F93" w:rsidRDefault="005C4F93" w:rsidP="00E969FA">
      <w:pPr>
        <w:spacing w:after="0"/>
        <w:rPr>
          <w:rFonts w:ascii="Arial" w:hAnsi="Arial" w:cs="Arial"/>
        </w:rPr>
      </w:pPr>
    </w:p>
    <w:p w14:paraId="0A8F6339" w14:textId="77777777" w:rsidR="005C4F93" w:rsidRPr="005C4F93" w:rsidRDefault="00634A5F" w:rsidP="00E969FA">
      <w:pPr>
        <w:spacing w:after="0"/>
        <w:rPr>
          <w:rFonts w:ascii="Arial" w:hAnsi="Arial" w:cs="Arial"/>
          <w:b/>
        </w:rPr>
      </w:pPr>
      <w:r>
        <w:rPr>
          <w:rFonts w:ascii="Arial" w:hAnsi="Arial" w:cs="Arial"/>
          <w:b/>
        </w:rPr>
        <w:t>Author and affiliations</w:t>
      </w:r>
    </w:p>
    <w:p w14:paraId="39DE3136" w14:textId="77777777" w:rsidR="005C4F93" w:rsidRDefault="005C4F93" w:rsidP="00E969FA">
      <w:pPr>
        <w:spacing w:after="0"/>
        <w:rPr>
          <w:rFonts w:ascii="Arial" w:hAnsi="Arial" w:cs="Arial"/>
        </w:rPr>
      </w:pPr>
    </w:p>
    <w:p w14:paraId="1C12C49A" w14:textId="454405B4" w:rsidR="005C4F93" w:rsidRPr="003F534D" w:rsidRDefault="000D3BB1" w:rsidP="00E969FA">
      <w:pPr>
        <w:spacing w:after="0"/>
        <w:rPr>
          <w:rFonts w:ascii="Arial" w:hAnsi="Arial" w:cs="Arial"/>
        </w:rPr>
      </w:pPr>
      <w:r>
        <w:rPr>
          <w:rFonts w:ascii="Arial" w:hAnsi="Arial" w:cs="Arial"/>
        </w:rPr>
        <w:t xml:space="preserve">Dr Evan Ackermann on </w:t>
      </w:r>
      <w:r w:rsidR="009F7153">
        <w:rPr>
          <w:rFonts w:ascii="Arial" w:hAnsi="Arial" w:cs="Arial"/>
        </w:rPr>
        <w:t>b</w:t>
      </w:r>
      <w:r>
        <w:rPr>
          <w:rFonts w:ascii="Arial" w:hAnsi="Arial" w:cs="Arial"/>
        </w:rPr>
        <w:t>ehalf o</w:t>
      </w:r>
      <w:r w:rsidR="009F7153">
        <w:rPr>
          <w:rFonts w:ascii="Arial" w:hAnsi="Arial" w:cs="Arial"/>
        </w:rPr>
        <w:t>f</w:t>
      </w:r>
      <w:r>
        <w:rPr>
          <w:rFonts w:ascii="Arial" w:hAnsi="Arial" w:cs="Arial"/>
        </w:rPr>
        <w:t xml:space="preserve"> RACGP Expert Committee Quality Care</w:t>
      </w:r>
    </w:p>
    <w:p w14:paraId="170D1593" w14:textId="77777777" w:rsidR="00E969FA" w:rsidRPr="003F534D" w:rsidRDefault="00E969FA" w:rsidP="00E969FA">
      <w:pPr>
        <w:spacing w:after="0"/>
        <w:rPr>
          <w:rFonts w:ascii="Arial" w:hAnsi="Arial" w:cs="Arial"/>
        </w:rPr>
      </w:pPr>
    </w:p>
    <w:p w14:paraId="6C0162C5" w14:textId="77777777" w:rsidR="00E969FA" w:rsidRPr="003F534D" w:rsidRDefault="00E969FA" w:rsidP="00E969FA">
      <w:pPr>
        <w:spacing w:after="0"/>
        <w:rPr>
          <w:rFonts w:ascii="Arial" w:hAnsi="Arial" w:cs="Arial"/>
          <w:b/>
        </w:rPr>
      </w:pPr>
      <w:r w:rsidRPr="003F534D">
        <w:rPr>
          <w:rFonts w:ascii="Arial" w:hAnsi="Arial" w:cs="Arial"/>
          <w:b/>
        </w:rPr>
        <w:t>Background</w:t>
      </w:r>
    </w:p>
    <w:p w14:paraId="0C370C84" w14:textId="77777777" w:rsidR="00E969FA" w:rsidRPr="003F534D" w:rsidRDefault="00E969FA" w:rsidP="00E969FA">
      <w:pPr>
        <w:pStyle w:val="NoSpacing"/>
        <w:rPr>
          <w:rFonts w:ascii="Arial" w:hAnsi="Arial" w:cs="Arial"/>
        </w:rPr>
      </w:pPr>
    </w:p>
    <w:p w14:paraId="54265939" w14:textId="5E42B049" w:rsidR="009F7153" w:rsidRDefault="00042FF2" w:rsidP="00042FF2">
      <w:pPr>
        <w:pStyle w:val="AIHWbodytext"/>
      </w:pPr>
      <w:r>
        <w:t xml:space="preserve">Potentially preventable hospitalisations (PPH), </w:t>
      </w:r>
      <w:r w:rsidR="009F7153">
        <w:t>are</w:t>
      </w:r>
      <w:r>
        <w:t xml:space="preserve"> a National Healthcare Agreement performance indicator relating to the outcome</w:t>
      </w:r>
      <w:r w:rsidR="009F7153">
        <w:t xml:space="preserve"> that</w:t>
      </w:r>
      <w:r>
        <w:t xml:space="preserve"> </w:t>
      </w:r>
      <w:r w:rsidRPr="00350806">
        <w:rPr>
          <w:i/>
        </w:rPr>
        <w:t>Australians receive appropriate, high quality and affordable primary</w:t>
      </w:r>
      <w:r>
        <w:t xml:space="preserve">. </w:t>
      </w:r>
    </w:p>
    <w:p w14:paraId="36E7DBA0" w14:textId="405691DB" w:rsidR="00042FF2" w:rsidRDefault="00042FF2" w:rsidP="00042FF2">
      <w:pPr>
        <w:pStyle w:val="AIHWbodytext"/>
      </w:pPr>
      <w:r>
        <w:t>It is also an indicator in the Performance and Accountability Framework and</w:t>
      </w:r>
      <w:r w:rsidRPr="008474E1">
        <w:t xml:space="preserve"> </w:t>
      </w:r>
      <w:r>
        <w:t xml:space="preserve">a national headline indicator in the Primary Health Network Performance Framework. </w:t>
      </w:r>
    </w:p>
    <w:p w14:paraId="77E16163" w14:textId="77777777" w:rsidR="00E969FA" w:rsidRDefault="00042FF2" w:rsidP="00042FF2">
      <w:pPr>
        <w:pStyle w:val="AIHWbodytext"/>
      </w:pPr>
      <w:r>
        <w:t>Potentially preventable hospitalisations are those conditions where hospitalisation could have potentially been prevented through the provision of appropriate individualised preventative health interventions and early disease management usually delivered in primary care</w:t>
      </w:r>
    </w:p>
    <w:p w14:paraId="1C62121F" w14:textId="77777777" w:rsidR="00042FF2" w:rsidRDefault="00042FF2" w:rsidP="00042FF2">
      <w:pPr>
        <w:pStyle w:val="AIHWbodytext"/>
      </w:pPr>
      <w:r>
        <w:t>The Royal Australian College of General Practitioners (RACGP) requested the Australian Institute of Health and Welfare (AIHW) to collaboratively develop a revised PPH ‘GP-specific’ indicator that is better suited to considering the accessibility and appropriateness of general practice activity in Australia.</w:t>
      </w:r>
    </w:p>
    <w:p w14:paraId="795DEC2D" w14:textId="77777777" w:rsidR="00E969FA" w:rsidRPr="003F534D" w:rsidRDefault="00E969FA" w:rsidP="00E969FA">
      <w:pPr>
        <w:pStyle w:val="NoSpacing"/>
        <w:rPr>
          <w:rFonts w:ascii="Arial" w:hAnsi="Arial" w:cs="Arial"/>
        </w:rPr>
      </w:pPr>
    </w:p>
    <w:p w14:paraId="233A6E0A" w14:textId="77777777" w:rsidR="00E969FA" w:rsidRPr="003F534D" w:rsidRDefault="00E969FA" w:rsidP="00E969FA">
      <w:pPr>
        <w:spacing w:after="0"/>
        <w:rPr>
          <w:rFonts w:ascii="Arial" w:hAnsi="Arial" w:cs="Arial"/>
          <w:b/>
        </w:rPr>
      </w:pPr>
      <w:r w:rsidRPr="003F534D">
        <w:rPr>
          <w:rFonts w:ascii="Arial" w:hAnsi="Arial" w:cs="Arial"/>
          <w:b/>
        </w:rPr>
        <w:t>Aims</w:t>
      </w:r>
    </w:p>
    <w:p w14:paraId="139C3A7F" w14:textId="77777777" w:rsidR="00E969FA" w:rsidRPr="003F534D" w:rsidRDefault="00E969FA" w:rsidP="00E969FA">
      <w:pPr>
        <w:pStyle w:val="NoSpacing"/>
        <w:rPr>
          <w:rFonts w:ascii="Arial" w:hAnsi="Arial" w:cs="Arial"/>
        </w:rPr>
      </w:pPr>
    </w:p>
    <w:p w14:paraId="6B7CCAD6" w14:textId="79238B78" w:rsidR="00E969FA" w:rsidRDefault="00042FF2" w:rsidP="00BA5566">
      <w:pPr>
        <w:pStyle w:val="AIHWbodytext"/>
      </w:pPr>
      <w:r w:rsidRPr="00BA5566">
        <w:t>To refine and tailor the existing PPH indicator to measure general practice impact in the health care system</w:t>
      </w:r>
      <w:r w:rsidR="004A0B94">
        <w:t xml:space="preserve">. To have a </w:t>
      </w:r>
      <w:r w:rsidR="004A0B94" w:rsidRPr="004A0B94">
        <w:t>National</w:t>
      </w:r>
      <w:r w:rsidR="004A0B94">
        <w:t xml:space="preserve"> preventive health i</w:t>
      </w:r>
      <w:r w:rsidR="004A0B94" w:rsidRPr="004A0B94">
        <w:t xml:space="preserve">ndicator </w:t>
      </w:r>
      <w:r w:rsidR="004A0B94">
        <w:t>with</w:t>
      </w:r>
      <w:r w:rsidR="004A0B94" w:rsidRPr="004A0B94">
        <w:t xml:space="preserve"> relevance at a </w:t>
      </w:r>
      <w:r w:rsidR="004A0B94">
        <w:t xml:space="preserve">General </w:t>
      </w:r>
      <w:r w:rsidR="004A0B94" w:rsidRPr="004A0B94">
        <w:t>Practice level</w:t>
      </w:r>
    </w:p>
    <w:p w14:paraId="67949843" w14:textId="77777777" w:rsidR="00E969FA" w:rsidRPr="003F534D" w:rsidRDefault="00E969FA" w:rsidP="00E969FA">
      <w:pPr>
        <w:pStyle w:val="NoSpacing"/>
        <w:rPr>
          <w:rFonts w:ascii="Arial" w:hAnsi="Arial" w:cs="Arial"/>
        </w:rPr>
      </w:pPr>
    </w:p>
    <w:p w14:paraId="4AA23009" w14:textId="77777777" w:rsidR="00E969FA" w:rsidRPr="003F534D" w:rsidRDefault="00E969FA" w:rsidP="00E969FA">
      <w:pPr>
        <w:spacing w:after="0"/>
        <w:rPr>
          <w:rFonts w:ascii="Arial" w:hAnsi="Arial" w:cs="Arial"/>
          <w:b/>
        </w:rPr>
      </w:pPr>
      <w:r w:rsidRPr="003F534D">
        <w:rPr>
          <w:rFonts w:ascii="Arial" w:hAnsi="Arial" w:cs="Arial"/>
          <w:b/>
        </w:rPr>
        <w:t>Method</w:t>
      </w:r>
    </w:p>
    <w:p w14:paraId="4B19A01C" w14:textId="77777777" w:rsidR="00E969FA" w:rsidRPr="003F534D" w:rsidRDefault="00E969FA" w:rsidP="00E969FA">
      <w:pPr>
        <w:pStyle w:val="NoSpacing"/>
        <w:rPr>
          <w:rFonts w:ascii="Arial" w:hAnsi="Arial" w:cs="Arial"/>
        </w:rPr>
      </w:pPr>
    </w:p>
    <w:p w14:paraId="31204005" w14:textId="6A127132" w:rsidR="00E969FA" w:rsidRDefault="00BA5566" w:rsidP="00BA5566">
      <w:pPr>
        <w:pStyle w:val="AIHWbodytext"/>
      </w:pPr>
      <w:r>
        <w:t xml:space="preserve">Members of the RACGP Expert Committee Quality Care working group </w:t>
      </w:r>
      <w:r w:rsidR="009F7153">
        <w:t>were</w:t>
      </w:r>
      <w:r>
        <w:t xml:space="preserve"> responsible for indicator revision and modification in collaboration with AIHW staff.</w:t>
      </w:r>
      <w:r w:rsidR="009F7153">
        <w:t xml:space="preserve"> This included a technical revision around coding procedures, and a clinical view to ensure a comprehensive array of health conditions which were potentially preventable by General Practice care.</w:t>
      </w:r>
    </w:p>
    <w:p w14:paraId="3D44BE3B" w14:textId="77777777" w:rsidR="00BA5566" w:rsidRPr="003F534D" w:rsidRDefault="00BA5566" w:rsidP="00E969FA">
      <w:pPr>
        <w:pStyle w:val="NoSpacing"/>
        <w:rPr>
          <w:rFonts w:ascii="Arial" w:hAnsi="Arial" w:cs="Arial"/>
        </w:rPr>
      </w:pPr>
    </w:p>
    <w:p w14:paraId="1142C30A" w14:textId="77777777" w:rsidR="00E969FA" w:rsidRPr="003F534D" w:rsidRDefault="00E969FA" w:rsidP="00E969FA">
      <w:pPr>
        <w:pStyle w:val="NoSpacing"/>
        <w:rPr>
          <w:rFonts w:ascii="Arial" w:hAnsi="Arial" w:cs="Arial"/>
        </w:rPr>
      </w:pPr>
    </w:p>
    <w:p w14:paraId="494115CC" w14:textId="77777777" w:rsidR="00E969FA" w:rsidRPr="003F534D" w:rsidRDefault="00E969FA" w:rsidP="00E969FA">
      <w:pPr>
        <w:spacing w:after="0"/>
        <w:rPr>
          <w:rFonts w:ascii="Arial" w:hAnsi="Arial" w:cs="Arial"/>
          <w:b/>
        </w:rPr>
      </w:pPr>
      <w:r w:rsidRPr="003F534D">
        <w:rPr>
          <w:rFonts w:ascii="Arial" w:hAnsi="Arial" w:cs="Arial"/>
          <w:b/>
        </w:rPr>
        <w:t>Results</w:t>
      </w:r>
    </w:p>
    <w:p w14:paraId="60EE11AB" w14:textId="77777777" w:rsidR="00E969FA" w:rsidRPr="003F534D" w:rsidRDefault="00E969FA" w:rsidP="00E969FA">
      <w:pPr>
        <w:pStyle w:val="NoSpacing"/>
        <w:rPr>
          <w:rFonts w:ascii="Arial" w:hAnsi="Arial" w:cs="Arial"/>
        </w:rPr>
      </w:pPr>
    </w:p>
    <w:p w14:paraId="3BED2DC7" w14:textId="762B73C0" w:rsidR="00E969FA" w:rsidRPr="009F7153" w:rsidRDefault="009F7153" w:rsidP="009F7153">
      <w:pPr>
        <w:pStyle w:val="AIHWbodytext"/>
      </w:pPr>
      <w:r w:rsidRPr="009F7153">
        <w:t>To be presented at GP 18</w:t>
      </w:r>
    </w:p>
    <w:p w14:paraId="087493B1" w14:textId="77777777" w:rsidR="009F7153" w:rsidRDefault="009F7153" w:rsidP="00E969FA">
      <w:pPr>
        <w:spacing w:after="0"/>
        <w:rPr>
          <w:rFonts w:ascii="Arial" w:hAnsi="Arial" w:cs="Arial"/>
          <w:b/>
        </w:rPr>
      </w:pPr>
    </w:p>
    <w:p w14:paraId="15021120" w14:textId="3F71B68A" w:rsidR="00E969FA" w:rsidRPr="003F534D" w:rsidRDefault="00E969FA" w:rsidP="00E969FA">
      <w:pPr>
        <w:spacing w:after="0"/>
        <w:rPr>
          <w:rFonts w:ascii="Arial" w:hAnsi="Arial" w:cs="Arial"/>
          <w:b/>
        </w:rPr>
      </w:pPr>
      <w:r w:rsidRPr="003F534D">
        <w:rPr>
          <w:rFonts w:ascii="Arial" w:hAnsi="Arial" w:cs="Arial"/>
          <w:b/>
        </w:rPr>
        <w:t>Conclusion</w:t>
      </w:r>
    </w:p>
    <w:p w14:paraId="0B57A656" w14:textId="77777777" w:rsidR="00E969FA" w:rsidRPr="003F534D" w:rsidRDefault="00E969FA" w:rsidP="00E969FA">
      <w:pPr>
        <w:pStyle w:val="NoSpacing"/>
        <w:rPr>
          <w:rFonts w:ascii="Arial" w:hAnsi="Arial" w:cs="Arial"/>
        </w:rPr>
      </w:pPr>
    </w:p>
    <w:p w14:paraId="3C94DD13" w14:textId="63AA6F41" w:rsidR="00E969FA" w:rsidRPr="003F534D" w:rsidRDefault="009F7153" w:rsidP="00E969FA">
      <w:pPr>
        <w:pStyle w:val="NoSpacing"/>
        <w:rPr>
          <w:rFonts w:ascii="Arial" w:hAnsi="Arial" w:cs="Arial"/>
        </w:rPr>
      </w:pPr>
      <w:r>
        <w:rPr>
          <w:rFonts w:ascii="Arial" w:hAnsi="Arial" w:cs="Arial"/>
        </w:rPr>
        <w:t xml:space="preserve">This is the first </w:t>
      </w:r>
      <w:bookmarkStart w:id="0" w:name="_GoBack"/>
      <w:r>
        <w:rPr>
          <w:rFonts w:ascii="Arial" w:hAnsi="Arial" w:cs="Arial"/>
        </w:rPr>
        <w:t>comprehensive review of a health indicator used world-wide to assess the appropriateness of General Practice care</w:t>
      </w:r>
      <w:bookmarkEnd w:id="0"/>
      <w:r>
        <w:rPr>
          <w:rFonts w:ascii="Arial" w:hAnsi="Arial" w:cs="Arial"/>
        </w:rPr>
        <w:t>.</w:t>
      </w:r>
    </w:p>
    <w:p w14:paraId="35F205B5" w14:textId="77777777" w:rsidR="00E969FA" w:rsidRPr="003F534D" w:rsidRDefault="00E969FA" w:rsidP="00E969FA">
      <w:pPr>
        <w:pStyle w:val="NoSpacing"/>
        <w:rPr>
          <w:rFonts w:ascii="Arial" w:hAnsi="Arial" w:cs="Arial"/>
        </w:rPr>
      </w:pPr>
    </w:p>
    <w:p w14:paraId="20D1C87F" w14:textId="6761300E" w:rsidR="007A3219" w:rsidRPr="00F12827" w:rsidRDefault="00E969FA" w:rsidP="00A364F0">
      <w:pPr>
        <w:spacing w:after="0"/>
        <w:rPr>
          <w:rFonts w:cs="Arial"/>
        </w:rPr>
      </w:pPr>
      <w:r w:rsidRPr="003F534D">
        <w:rPr>
          <w:rFonts w:ascii="Arial" w:hAnsi="Arial" w:cs="Arial"/>
          <w:b/>
        </w:rPr>
        <w:t xml:space="preserve">References </w:t>
      </w:r>
      <w:r w:rsidR="009F7153">
        <w:rPr>
          <w:rFonts w:ascii="Arial" w:hAnsi="Arial" w:cs="Arial"/>
        </w:rPr>
        <w:t>Nil for now</w:t>
      </w:r>
    </w:p>
    <w:sectPr w:rsidR="007A3219" w:rsidRPr="00F12827"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D1AE7" w14:textId="77777777" w:rsidR="006A45B7" w:rsidRDefault="006A45B7" w:rsidP="00DB6276">
      <w:pPr>
        <w:spacing w:after="0" w:line="240" w:lineRule="auto"/>
      </w:pPr>
      <w:r>
        <w:separator/>
      </w:r>
    </w:p>
  </w:endnote>
  <w:endnote w:type="continuationSeparator" w:id="0">
    <w:p w14:paraId="409628C3" w14:textId="77777777" w:rsidR="006A45B7" w:rsidRDefault="006A45B7"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6C1C4" w14:textId="77777777" w:rsidR="006A45B7" w:rsidRDefault="006A45B7" w:rsidP="00DB6276">
      <w:pPr>
        <w:spacing w:after="0" w:line="240" w:lineRule="auto"/>
      </w:pPr>
      <w:r>
        <w:separator/>
      </w:r>
    </w:p>
  </w:footnote>
  <w:footnote w:type="continuationSeparator" w:id="0">
    <w:p w14:paraId="0FD0E449" w14:textId="77777777" w:rsidR="006A45B7" w:rsidRDefault="006A45B7" w:rsidP="00DB6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24"/>
  </w:num>
  <w:num w:numId="5">
    <w:abstractNumId w:val="12"/>
  </w:num>
  <w:num w:numId="6">
    <w:abstractNumId w:val="22"/>
  </w:num>
  <w:num w:numId="7">
    <w:abstractNumId w:val="7"/>
  </w:num>
  <w:num w:numId="8">
    <w:abstractNumId w:val="13"/>
  </w:num>
  <w:num w:numId="9">
    <w:abstractNumId w:val="6"/>
  </w:num>
  <w:num w:numId="10">
    <w:abstractNumId w:val="21"/>
  </w:num>
  <w:num w:numId="11">
    <w:abstractNumId w:val="14"/>
  </w:num>
  <w:num w:numId="12">
    <w:abstractNumId w:val="4"/>
  </w:num>
  <w:num w:numId="13">
    <w:abstractNumId w:val="0"/>
  </w:num>
  <w:num w:numId="14">
    <w:abstractNumId w:val="23"/>
  </w:num>
  <w:num w:numId="15">
    <w:abstractNumId w:val="1"/>
  </w:num>
  <w:num w:numId="16">
    <w:abstractNumId w:val="16"/>
  </w:num>
  <w:num w:numId="17">
    <w:abstractNumId w:val="3"/>
  </w:num>
  <w:num w:numId="18">
    <w:abstractNumId w:val="20"/>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18"/>
  </w:num>
  <w:num w:numId="23">
    <w:abstractNumId w:val="19"/>
  </w:num>
  <w:num w:numId="24">
    <w:abstractNumId w:val="11"/>
  </w:num>
  <w:num w:numId="25">
    <w:abstractNumId w:val="25"/>
  </w:num>
  <w:num w:numId="26">
    <w:abstractNumId w:val="26"/>
  </w:num>
  <w:num w:numId="27">
    <w:abstractNumId w:val="2"/>
  </w:num>
  <w:num w:numId="28">
    <w:abstractNumId w:val="9"/>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F6"/>
    <w:rsid w:val="0000578B"/>
    <w:rsid w:val="00042FF2"/>
    <w:rsid w:val="000530F3"/>
    <w:rsid w:val="0006205D"/>
    <w:rsid w:val="00065794"/>
    <w:rsid w:val="0009481D"/>
    <w:rsid w:val="000A005C"/>
    <w:rsid w:val="000D1EB3"/>
    <w:rsid w:val="000D3BB1"/>
    <w:rsid w:val="001A0E12"/>
    <w:rsid w:val="001A7273"/>
    <w:rsid w:val="00204AE2"/>
    <w:rsid w:val="002061A7"/>
    <w:rsid w:val="00226C37"/>
    <w:rsid w:val="00237188"/>
    <w:rsid w:val="002B7BEB"/>
    <w:rsid w:val="002C520E"/>
    <w:rsid w:val="002D1372"/>
    <w:rsid w:val="002D267A"/>
    <w:rsid w:val="002D6E16"/>
    <w:rsid w:val="00323232"/>
    <w:rsid w:val="003319CA"/>
    <w:rsid w:val="0037377D"/>
    <w:rsid w:val="003A5C47"/>
    <w:rsid w:val="003B56C9"/>
    <w:rsid w:val="003C0B6D"/>
    <w:rsid w:val="003D7F5C"/>
    <w:rsid w:val="004676AA"/>
    <w:rsid w:val="004806DA"/>
    <w:rsid w:val="004A0B94"/>
    <w:rsid w:val="004A4C8F"/>
    <w:rsid w:val="004A7DF6"/>
    <w:rsid w:val="004A7F18"/>
    <w:rsid w:val="004C4FEF"/>
    <w:rsid w:val="004D35FA"/>
    <w:rsid w:val="004F5E9D"/>
    <w:rsid w:val="00542728"/>
    <w:rsid w:val="00556C76"/>
    <w:rsid w:val="00561AD8"/>
    <w:rsid w:val="005C4F93"/>
    <w:rsid w:val="006150A8"/>
    <w:rsid w:val="00634A5F"/>
    <w:rsid w:val="00687FF6"/>
    <w:rsid w:val="006A45B7"/>
    <w:rsid w:val="006D10CF"/>
    <w:rsid w:val="007340C2"/>
    <w:rsid w:val="007A3219"/>
    <w:rsid w:val="007A4975"/>
    <w:rsid w:val="008426B4"/>
    <w:rsid w:val="00866BFD"/>
    <w:rsid w:val="008A6431"/>
    <w:rsid w:val="008D7BF0"/>
    <w:rsid w:val="00937FEB"/>
    <w:rsid w:val="0098351A"/>
    <w:rsid w:val="00984CE1"/>
    <w:rsid w:val="00995919"/>
    <w:rsid w:val="009C7760"/>
    <w:rsid w:val="009F7153"/>
    <w:rsid w:val="00A06D50"/>
    <w:rsid w:val="00A12B60"/>
    <w:rsid w:val="00A270EE"/>
    <w:rsid w:val="00A364F0"/>
    <w:rsid w:val="00A378F6"/>
    <w:rsid w:val="00A37C03"/>
    <w:rsid w:val="00A4054A"/>
    <w:rsid w:val="00A606C7"/>
    <w:rsid w:val="00A80054"/>
    <w:rsid w:val="00A848B4"/>
    <w:rsid w:val="00AA6275"/>
    <w:rsid w:val="00AA7219"/>
    <w:rsid w:val="00AC7F73"/>
    <w:rsid w:val="00AE5A5E"/>
    <w:rsid w:val="00B03208"/>
    <w:rsid w:val="00B12D26"/>
    <w:rsid w:val="00B20279"/>
    <w:rsid w:val="00B730A7"/>
    <w:rsid w:val="00BA5566"/>
    <w:rsid w:val="00BD3208"/>
    <w:rsid w:val="00BD72AD"/>
    <w:rsid w:val="00C218BD"/>
    <w:rsid w:val="00C3505E"/>
    <w:rsid w:val="00C4224F"/>
    <w:rsid w:val="00C426BE"/>
    <w:rsid w:val="00CA4098"/>
    <w:rsid w:val="00D22221"/>
    <w:rsid w:val="00D56905"/>
    <w:rsid w:val="00D675D7"/>
    <w:rsid w:val="00D75A93"/>
    <w:rsid w:val="00D91638"/>
    <w:rsid w:val="00D94D46"/>
    <w:rsid w:val="00DB6276"/>
    <w:rsid w:val="00DC7A66"/>
    <w:rsid w:val="00DD428F"/>
    <w:rsid w:val="00DE0E61"/>
    <w:rsid w:val="00DF2A39"/>
    <w:rsid w:val="00E12141"/>
    <w:rsid w:val="00E25F07"/>
    <w:rsid w:val="00E276B8"/>
    <w:rsid w:val="00E27C34"/>
    <w:rsid w:val="00E36586"/>
    <w:rsid w:val="00E47A4C"/>
    <w:rsid w:val="00E55FB0"/>
    <w:rsid w:val="00E969FA"/>
    <w:rsid w:val="00EA51A6"/>
    <w:rsid w:val="00EB2DBD"/>
    <w:rsid w:val="00EC46E6"/>
    <w:rsid w:val="00ED7C3D"/>
    <w:rsid w:val="00EE417F"/>
    <w:rsid w:val="00F12827"/>
    <w:rsid w:val="00F21792"/>
    <w:rsid w:val="00F75019"/>
    <w:rsid w:val="00FA1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D8441"/>
  <w15:chartTrackingRefBased/>
  <w15:docId w15:val="{0FE5F231-FD2E-4C93-ADC2-876B884C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HWbodytext">
    <w:name w:val="AIHW body text"/>
    <w:basedOn w:val="Normal"/>
    <w:link w:val="AIHWbodytextChar"/>
    <w:qFormat/>
    <w:rsid w:val="00042FF2"/>
    <w:pPr>
      <w:spacing w:before="120" w:after="120" w:line="260" w:lineRule="atLeast"/>
    </w:pPr>
    <w:rPr>
      <w:rFonts w:ascii="Book Antiqua" w:eastAsia="Times New Roman" w:hAnsi="Book Antiqua" w:cs="Times New Roman"/>
      <w:szCs w:val="20"/>
    </w:rPr>
  </w:style>
  <w:style w:type="paragraph" w:customStyle="1" w:styleId="03Series">
    <w:name w:val="03 Series"/>
    <w:basedOn w:val="Normal"/>
    <w:next w:val="Normal"/>
    <w:uiPriority w:val="8"/>
    <w:rsid w:val="00042FF2"/>
    <w:pPr>
      <w:pageBreakBefore/>
      <w:spacing w:before="1440" w:after="80" w:line="260" w:lineRule="atLeast"/>
      <w:jc w:val="center"/>
    </w:pPr>
    <w:rPr>
      <w:rFonts w:ascii="Arial" w:eastAsia="Times New Roman" w:hAnsi="Arial" w:cs="Times New Roman"/>
      <w:caps/>
      <w:szCs w:val="20"/>
    </w:rPr>
  </w:style>
  <w:style w:type="character" w:customStyle="1" w:styleId="AIHWbodytextChar">
    <w:name w:val="AIHW body text Char"/>
    <w:link w:val="AIHWbodytext"/>
    <w:locked/>
    <w:rsid w:val="00042FF2"/>
    <w:rPr>
      <w:rFonts w:ascii="Book Antiqua" w:eastAsia="Times New Roman" w:hAnsi="Book Antiqua" w:cs="Times New Roman"/>
      <w:szCs w:val="20"/>
    </w:rPr>
  </w:style>
  <w:style w:type="character" w:styleId="CommentReference">
    <w:name w:val="annotation reference"/>
    <w:semiHidden/>
    <w:rsid w:val="00042FF2"/>
    <w:rPr>
      <w:sz w:val="16"/>
      <w:szCs w:val="16"/>
    </w:rPr>
  </w:style>
  <w:style w:type="paragraph" w:styleId="CommentText">
    <w:name w:val="annotation text"/>
    <w:basedOn w:val="Normal"/>
    <w:link w:val="CommentTextChar"/>
    <w:semiHidden/>
    <w:rsid w:val="00042FF2"/>
    <w:pPr>
      <w:spacing w:before="60" w:after="120" w:line="260" w:lineRule="atLeast"/>
    </w:pPr>
    <w:rPr>
      <w:rFonts w:ascii="Book Antiqua" w:eastAsia="Times New Roman" w:hAnsi="Book Antiqua" w:cs="Times New Roman"/>
      <w:sz w:val="20"/>
      <w:szCs w:val="20"/>
      <w:lang w:eastAsia="en-AU"/>
    </w:rPr>
  </w:style>
  <w:style w:type="character" w:customStyle="1" w:styleId="CommentTextChar">
    <w:name w:val="Comment Text Char"/>
    <w:basedOn w:val="DefaultParagraphFont"/>
    <w:link w:val="CommentText"/>
    <w:semiHidden/>
    <w:rsid w:val="00042FF2"/>
    <w:rPr>
      <w:rFonts w:ascii="Book Antiqua" w:eastAsia="Times New Roman" w:hAnsi="Book Antiqua" w:cs="Times New Roman"/>
      <w:sz w:val="20"/>
      <w:szCs w:val="20"/>
      <w:lang w:eastAsia="en-AU"/>
    </w:rPr>
  </w:style>
  <w:style w:type="paragraph" w:styleId="BalloonText">
    <w:name w:val="Balloon Text"/>
    <w:basedOn w:val="Normal"/>
    <w:link w:val="BalloonTextChar"/>
    <w:uiPriority w:val="99"/>
    <w:semiHidden/>
    <w:unhideWhenUsed/>
    <w:rsid w:val="00042F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F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Evan Ackermann</cp:lastModifiedBy>
  <cp:revision>2</cp:revision>
  <dcterms:created xsi:type="dcterms:W3CDTF">2018-03-03T09:23:00Z</dcterms:created>
  <dcterms:modified xsi:type="dcterms:W3CDTF">2018-03-03T09:23:00Z</dcterms:modified>
</cp:coreProperties>
</file>