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07AC" w14:textId="77777777" w:rsidR="00B62110" w:rsidRPr="00026C73" w:rsidRDefault="000A5685" w:rsidP="00F7291E">
      <w:pPr>
        <w:jc w:val="center"/>
        <w:rPr>
          <w:rFonts w:ascii="Hind" w:hAnsi="Hind" w:cs="Hind"/>
          <w:b/>
          <w:sz w:val="26"/>
          <w:szCs w:val="26"/>
        </w:rPr>
      </w:pPr>
      <w:bookmarkStart w:id="0" w:name="_GoBack"/>
      <w:bookmarkEnd w:id="0"/>
      <w:r w:rsidRPr="00026C73">
        <w:rPr>
          <w:rFonts w:ascii="Hind" w:hAnsi="Hind" w:cs="Hind"/>
          <w:b/>
          <w:sz w:val="26"/>
          <w:szCs w:val="26"/>
        </w:rPr>
        <w:t>Waste 201</w:t>
      </w:r>
      <w:r w:rsidR="00CE40C0">
        <w:rPr>
          <w:rFonts w:ascii="Hind" w:hAnsi="Hind" w:cs="Hind"/>
          <w:b/>
          <w:sz w:val="26"/>
          <w:szCs w:val="26"/>
        </w:rPr>
        <w:t>9</w:t>
      </w:r>
      <w:r w:rsidR="00B65E69" w:rsidRPr="00026C73">
        <w:rPr>
          <w:rFonts w:ascii="Hind" w:hAnsi="Hind" w:cs="Hind"/>
          <w:b/>
          <w:sz w:val="26"/>
          <w:szCs w:val="26"/>
        </w:rPr>
        <w:t xml:space="preserve"> Abstract Submission</w:t>
      </w:r>
    </w:p>
    <w:p w14:paraId="71BD357D" w14:textId="77777777" w:rsidR="008722AD" w:rsidRPr="008722AD" w:rsidRDefault="008722AD" w:rsidP="008722AD">
      <w:pPr>
        <w:jc w:val="center"/>
        <w:rPr>
          <w:rFonts w:asciiTheme="minorHAnsi" w:hAnsiTheme="minorHAnsi"/>
          <w:sz w:val="22"/>
          <w:szCs w:val="22"/>
        </w:rPr>
      </w:pPr>
      <w:r w:rsidRPr="008722AD">
        <w:rPr>
          <w:rFonts w:asciiTheme="minorHAnsi" w:hAnsiTheme="minorHAnsi"/>
        </w:rPr>
        <w:t>The cost of abandonment</w:t>
      </w:r>
    </w:p>
    <w:p w14:paraId="6DAD18BF" w14:textId="77777777" w:rsidR="00F7291E" w:rsidRPr="00026C73" w:rsidRDefault="00F7291E">
      <w:pPr>
        <w:rPr>
          <w:rFonts w:ascii="Hind" w:hAnsi="Hind" w:cs="Hind"/>
          <w:b/>
          <w:sz w:val="26"/>
          <w:szCs w:val="26"/>
        </w:rPr>
      </w:pPr>
    </w:p>
    <w:p w14:paraId="249B5259" w14:textId="77777777" w:rsidR="007B258F" w:rsidRPr="00026C73" w:rsidRDefault="007B258F" w:rsidP="007B258F">
      <w:pPr>
        <w:jc w:val="center"/>
        <w:rPr>
          <w:rFonts w:ascii="Hind" w:hAnsi="Hind" w:cs="Hind"/>
          <w:b/>
          <w:i/>
          <w:sz w:val="18"/>
          <w:szCs w:val="22"/>
        </w:rPr>
      </w:pPr>
    </w:p>
    <w:p w14:paraId="75B2D6A7" w14:textId="77777777" w:rsidR="007873E4" w:rsidRPr="00026C73" w:rsidRDefault="00B62110">
      <w:pPr>
        <w:rPr>
          <w:rFonts w:ascii="Hind" w:hAnsi="Hind" w:cs="Hind"/>
          <w:b/>
          <w:i/>
          <w:sz w:val="18"/>
          <w:szCs w:val="18"/>
        </w:rPr>
      </w:pPr>
      <w:r w:rsidRPr="00026C73">
        <w:rPr>
          <w:rFonts w:ascii="Hind" w:hAnsi="Hind" w:cs="Hind"/>
          <w:i/>
          <w:sz w:val="20"/>
          <w:szCs w:val="22"/>
        </w:rPr>
        <w:t>My presentation is relevant to the following t</w:t>
      </w:r>
      <w:r w:rsidR="007873E4" w:rsidRPr="00026C73">
        <w:rPr>
          <w:rFonts w:ascii="Hind" w:hAnsi="Hind" w:cs="Hind"/>
          <w:i/>
          <w:sz w:val="20"/>
          <w:szCs w:val="22"/>
        </w:rPr>
        <w:t>opic area</w:t>
      </w:r>
      <w:r w:rsidRPr="00026C73">
        <w:rPr>
          <w:rFonts w:ascii="Hind" w:hAnsi="Hind" w:cs="Hind"/>
          <w:i/>
          <w:sz w:val="20"/>
          <w:szCs w:val="22"/>
        </w:rPr>
        <w:t>(s)</w:t>
      </w:r>
      <w:r w:rsidR="007873E4" w:rsidRPr="00026C73">
        <w:rPr>
          <w:rFonts w:ascii="Hind" w:hAnsi="Hind" w:cs="Hind"/>
          <w:i/>
          <w:sz w:val="20"/>
          <w:szCs w:val="22"/>
        </w:rPr>
        <w:t xml:space="preserve">. </w:t>
      </w:r>
    </w:p>
    <w:p w14:paraId="68E1B8F4" w14:textId="77777777" w:rsidR="006B503C" w:rsidRDefault="00CE40C0" w:rsidP="00CE40C0">
      <w:pPr>
        <w:tabs>
          <w:tab w:val="left" w:pos="8715"/>
        </w:tabs>
        <w:rPr>
          <w:rFonts w:ascii="Arial" w:hAnsi="Arial" w:cs="Arial"/>
          <w:sz w:val="20"/>
          <w:szCs w:val="18"/>
        </w:rPr>
      </w:pPr>
      <w:r>
        <w:rPr>
          <w:rFonts w:ascii="Arial" w:hAnsi="Arial" w:cs="Arial"/>
          <w:sz w:val="20"/>
          <w:szCs w:val="18"/>
        </w:rPr>
        <w:tab/>
      </w:r>
    </w:p>
    <w:p w14:paraId="3681653F" w14:textId="77777777" w:rsidR="00B65E69" w:rsidRPr="007F5F39" w:rsidRDefault="00B65E69" w:rsidP="00BE0EDB">
      <w:pPr>
        <w:tabs>
          <w:tab w:val="left" w:pos="284"/>
          <w:tab w:val="left" w:pos="5103"/>
          <w:tab w:val="left" w:pos="5387"/>
        </w:tabs>
        <w:rPr>
          <w:rFonts w:ascii="Calibri" w:hAnsi="Calibri" w:cs="Arial"/>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000A5685" w:rsidRPr="007F5F39">
        <w:rPr>
          <w:rFonts w:ascii="Hind" w:hAnsi="Hind" w:cs="Hind"/>
          <w:color w:val="000000"/>
          <w:sz w:val="20"/>
          <w:szCs w:val="22"/>
        </w:rPr>
        <w:t>Aboriginal community waste management</w:t>
      </w:r>
      <w:r w:rsidRPr="007F5F39">
        <w:rPr>
          <w:rFonts w:ascii="Calibri" w:hAnsi="Calibri" w:cs="Arial"/>
          <w:sz w:val="22"/>
          <w:szCs w:val="18"/>
        </w:rPr>
        <w:tab/>
      </w:r>
      <w:r w:rsidR="006F3EF3" w:rsidRPr="007F5F39">
        <w:rPr>
          <w:rFonts w:ascii="Calibri" w:hAnsi="Calibri" w:cs="Arial"/>
          <w:sz w:val="22"/>
          <w:szCs w:val="18"/>
        </w:rPr>
        <w:sym w:font="Wingdings" w:char="F0A8"/>
      </w:r>
      <w:r w:rsidR="006F3EF3" w:rsidRPr="007F5F39">
        <w:rPr>
          <w:rFonts w:ascii="Calibri" w:hAnsi="Calibri" w:cs="Arial"/>
          <w:sz w:val="22"/>
          <w:szCs w:val="18"/>
        </w:rPr>
        <w:t xml:space="preserve">  </w:t>
      </w:r>
      <w:r w:rsidR="006F3EF3" w:rsidRPr="007F5F39">
        <w:rPr>
          <w:rFonts w:ascii="Hind" w:hAnsi="Hind" w:cs="Hind"/>
          <w:color w:val="000000"/>
          <w:sz w:val="20"/>
          <w:szCs w:val="22"/>
        </w:rPr>
        <w:t>Overseas experiences</w:t>
      </w:r>
    </w:p>
    <w:p w14:paraId="1D15FE5A" w14:textId="77777777" w:rsidR="008E300F" w:rsidRPr="007F5F39" w:rsidRDefault="00B65E69" w:rsidP="00BE0EDB">
      <w:pPr>
        <w:tabs>
          <w:tab w:val="left" w:pos="284"/>
          <w:tab w:val="left" w:pos="5103"/>
          <w:tab w:val="left" w:pos="5387"/>
        </w:tabs>
        <w:rPr>
          <w:rFonts w:ascii="Hind" w:hAnsi="Hind" w:cs="Hind"/>
          <w:color w:val="000000"/>
          <w:sz w:val="18"/>
          <w:szCs w:val="22"/>
        </w:rPr>
      </w:pPr>
      <w:r w:rsidRPr="007F5F39">
        <w:rPr>
          <w:rFonts w:ascii="Calibri" w:hAnsi="Calibri" w:cs="Arial"/>
          <w:sz w:val="22"/>
          <w:szCs w:val="18"/>
        </w:rPr>
        <w:sym w:font="Wingdings" w:char="F0A8"/>
      </w:r>
      <w:r w:rsidRPr="007F5F39">
        <w:rPr>
          <w:rFonts w:ascii="Calibri" w:hAnsi="Calibri" w:cs="Arial"/>
          <w:sz w:val="22"/>
          <w:szCs w:val="18"/>
        </w:rPr>
        <w:t xml:space="preserve">  </w:t>
      </w:r>
      <w:r w:rsidR="000A5685" w:rsidRPr="007F5F39">
        <w:rPr>
          <w:rFonts w:ascii="Hind" w:hAnsi="Hind" w:cs="Hind"/>
          <w:color w:val="000000"/>
          <w:sz w:val="20"/>
          <w:szCs w:val="22"/>
        </w:rPr>
        <w:t xml:space="preserve">Circular economy </w:t>
      </w:r>
      <w:r w:rsidR="000A5685" w:rsidRPr="007F5F39">
        <w:rPr>
          <w:rFonts w:ascii="Hind" w:hAnsi="Hind" w:cs="Hind"/>
          <w:color w:val="000000"/>
          <w:sz w:val="18"/>
          <w:szCs w:val="22"/>
        </w:rPr>
        <w:t xml:space="preserve">(inc </w:t>
      </w:r>
      <w:r w:rsidR="008E300F" w:rsidRPr="007F5F39">
        <w:rPr>
          <w:rFonts w:ascii="Hind" w:hAnsi="Hind" w:cs="Hind"/>
          <w:color w:val="000000"/>
          <w:sz w:val="18"/>
          <w:szCs w:val="22"/>
        </w:rPr>
        <w:t xml:space="preserve">implemented </w:t>
      </w:r>
      <w:r w:rsidR="000A5685" w:rsidRPr="007F5F39">
        <w:rPr>
          <w:rFonts w:ascii="Hind" w:hAnsi="Hind" w:cs="Hind"/>
          <w:color w:val="000000"/>
          <w:sz w:val="18"/>
          <w:szCs w:val="22"/>
        </w:rPr>
        <w:t>case studies</w:t>
      </w:r>
      <w:r w:rsidR="008E300F" w:rsidRPr="007F5F39">
        <w:rPr>
          <w:rFonts w:ascii="Hind" w:hAnsi="Hind" w:cs="Hind"/>
          <w:color w:val="000000"/>
          <w:sz w:val="18"/>
          <w:szCs w:val="22"/>
        </w:rPr>
        <w:t xml:space="preserve"> &amp; </w:t>
      </w:r>
      <w:r w:rsidR="001131A5" w:rsidRPr="007F5F39">
        <w:rPr>
          <w:rFonts w:ascii="Hind" w:hAnsi="Hind" w:cs="Hind"/>
          <w:color w:val="000000"/>
          <w:sz w:val="18"/>
          <w:szCs w:val="22"/>
        </w:rPr>
        <w:tab/>
      </w:r>
      <w:r w:rsidR="006F3EF3" w:rsidRPr="007F5F39">
        <w:rPr>
          <w:rFonts w:ascii="Calibri" w:hAnsi="Calibri" w:cs="Arial"/>
          <w:sz w:val="22"/>
          <w:szCs w:val="18"/>
        </w:rPr>
        <w:sym w:font="Wingdings" w:char="F0A8"/>
      </w:r>
      <w:r w:rsidR="006F3EF3" w:rsidRPr="007F5F39">
        <w:rPr>
          <w:rFonts w:ascii="Calibri" w:hAnsi="Calibri" w:cs="Arial"/>
          <w:sz w:val="22"/>
          <w:szCs w:val="18"/>
        </w:rPr>
        <w:t xml:space="preserve">  </w:t>
      </w:r>
      <w:r w:rsidR="006F3EF3" w:rsidRPr="007F5F39">
        <w:rPr>
          <w:rFonts w:ascii="Hind" w:hAnsi="Hind" w:cs="Hind"/>
          <w:color w:val="000000"/>
          <w:sz w:val="20"/>
          <w:szCs w:val="22"/>
        </w:rPr>
        <w:t xml:space="preserve">Problem &amp; hazardous waste </w:t>
      </w:r>
      <w:r w:rsidR="006F3EF3" w:rsidRPr="007F5F39">
        <w:rPr>
          <w:rFonts w:ascii="Hind" w:hAnsi="Hind" w:cs="Hind"/>
          <w:color w:val="000000"/>
          <w:sz w:val="18"/>
          <w:szCs w:val="18"/>
        </w:rPr>
        <w:t>(inc asbestos, clinical</w:t>
      </w:r>
    </w:p>
    <w:p w14:paraId="6FCB7BB7" w14:textId="77777777" w:rsidR="00B65E69" w:rsidRPr="007F5F39" w:rsidRDefault="001131A5" w:rsidP="00BE0EDB">
      <w:pPr>
        <w:tabs>
          <w:tab w:val="left" w:pos="284"/>
          <w:tab w:val="left" w:pos="5103"/>
          <w:tab w:val="left" w:pos="5387"/>
        </w:tabs>
        <w:rPr>
          <w:rFonts w:ascii="Arial" w:hAnsi="Arial" w:cs="Arial"/>
          <w:sz w:val="18"/>
          <w:szCs w:val="18"/>
        </w:rPr>
      </w:pPr>
      <w:r w:rsidRPr="007F5F39">
        <w:rPr>
          <w:rFonts w:ascii="Hind" w:hAnsi="Hind" w:cs="Hind"/>
          <w:color w:val="000000"/>
          <w:sz w:val="18"/>
          <w:szCs w:val="22"/>
        </w:rPr>
        <w:tab/>
      </w:r>
      <w:r w:rsidR="008E300F" w:rsidRPr="007F5F39">
        <w:rPr>
          <w:rFonts w:ascii="Hind" w:hAnsi="Hind" w:cs="Hind"/>
          <w:color w:val="000000"/>
          <w:sz w:val="18"/>
          <w:szCs w:val="22"/>
        </w:rPr>
        <w:t>requisite legislation</w:t>
      </w:r>
      <w:r w:rsidR="000A5685" w:rsidRPr="007F5F39">
        <w:rPr>
          <w:rFonts w:ascii="Hind" w:hAnsi="Hind" w:cs="Hind"/>
          <w:color w:val="000000"/>
          <w:sz w:val="18"/>
          <w:szCs w:val="22"/>
        </w:rPr>
        <w:t>)</w:t>
      </w:r>
      <w:r w:rsidR="00B65E69" w:rsidRPr="007F5F39">
        <w:rPr>
          <w:rFonts w:ascii="Calibri" w:hAnsi="Calibri" w:cs="Arial"/>
          <w:sz w:val="18"/>
          <w:szCs w:val="18"/>
        </w:rPr>
        <w:tab/>
      </w:r>
      <w:r w:rsidR="00BE0EDB">
        <w:rPr>
          <w:rFonts w:ascii="Calibri" w:hAnsi="Calibri" w:cs="Arial"/>
          <w:sz w:val="18"/>
          <w:szCs w:val="18"/>
        </w:rPr>
        <w:tab/>
      </w:r>
      <w:r w:rsidR="006F3EF3" w:rsidRPr="007F5F39">
        <w:rPr>
          <w:rFonts w:ascii="Hind" w:hAnsi="Hind" w:cs="Hind"/>
          <w:color w:val="000000"/>
          <w:sz w:val="18"/>
          <w:szCs w:val="18"/>
        </w:rPr>
        <w:t>&amp; medical, e-waste, ocean plastics, paint, tyres etc)</w:t>
      </w:r>
    </w:p>
    <w:p w14:paraId="6C55FE15" w14:textId="77777777" w:rsidR="00182DA6" w:rsidRPr="007F5F39" w:rsidRDefault="00B65E69" w:rsidP="00BE0EDB">
      <w:pPr>
        <w:tabs>
          <w:tab w:val="left" w:pos="284"/>
          <w:tab w:val="left" w:pos="5103"/>
          <w:tab w:val="left" w:pos="5387"/>
        </w:tabs>
        <w:rPr>
          <w:rFonts w:ascii="Hind" w:hAnsi="Hind" w:cs="Hind"/>
          <w:color w:val="000000"/>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000A5685" w:rsidRPr="007F5F39">
        <w:rPr>
          <w:rFonts w:ascii="Hind" w:hAnsi="Hind" w:cs="Hind"/>
          <w:color w:val="000000"/>
          <w:sz w:val="20"/>
          <w:szCs w:val="22"/>
        </w:rPr>
        <w:t>Collection</w:t>
      </w:r>
      <w:r w:rsidR="000A5685" w:rsidRPr="007F5F39">
        <w:rPr>
          <w:rFonts w:ascii="Hind" w:hAnsi="Hind" w:cs="Hind"/>
          <w:color w:val="000000"/>
          <w:sz w:val="20"/>
          <w:szCs w:val="20"/>
        </w:rPr>
        <w:t xml:space="preserve"> </w:t>
      </w:r>
      <w:r w:rsidR="000A5685" w:rsidRPr="007F5F39">
        <w:rPr>
          <w:rFonts w:ascii="Hind" w:hAnsi="Hind" w:cs="Hind"/>
          <w:color w:val="000000"/>
          <w:sz w:val="18"/>
          <w:szCs w:val="18"/>
        </w:rPr>
        <w:t>(inc MUD’s</w:t>
      </w:r>
      <w:r w:rsidR="008E300F" w:rsidRPr="007F5F39">
        <w:rPr>
          <w:rFonts w:ascii="Hind" w:hAnsi="Hind" w:cs="Hind"/>
          <w:color w:val="000000"/>
          <w:sz w:val="18"/>
          <w:szCs w:val="18"/>
        </w:rPr>
        <w:t xml:space="preserve"> successes</w:t>
      </w:r>
      <w:r w:rsidR="00182DA6" w:rsidRPr="007F5F39">
        <w:rPr>
          <w:rFonts w:ascii="Hind" w:hAnsi="Hind" w:cs="Hind"/>
          <w:color w:val="000000"/>
          <w:sz w:val="18"/>
          <w:szCs w:val="18"/>
        </w:rPr>
        <w:t>/in</w:t>
      </w:r>
      <w:r w:rsidR="008E300F" w:rsidRPr="007F5F39">
        <w:rPr>
          <w:rFonts w:ascii="Hind" w:hAnsi="Hind" w:cs="Hind"/>
          <w:color w:val="000000"/>
          <w:sz w:val="18"/>
          <w:szCs w:val="18"/>
        </w:rPr>
        <w:t>novation</w:t>
      </w:r>
      <w:r w:rsidR="000A5685" w:rsidRPr="007F5F39">
        <w:rPr>
          <w:rFonts w:ascii="Hind" w:hAnsi="Hind" w:cs="Hind"/>
          <w:color w:val="000000"/>
          <w:sz w:val="18"/>
          <w:szCs w:val="18"/>
        </w:rPr>
        <w:t>,</w:t>
      </w:r>
      <w:r w:rsidR="008E300F" w:rsidRPr="007F5F39">
        <w:rPr>
          <w:rFonts w:ascii="Hind" w:hAnsi="Hind" w:cs="Hind"/>
          <w:color w:val="000000"/>
          <w:sz w:val="18"/>
          <w:szCs w:val="18"/>
        </w:rPr>
        <w:t xml:space="preserve"> transient </w:t>
      </w:r>
      <w:r w:rsidR="001131A5" w:rsidRPr="007F5F39">
        <w:rPr>
          <w:rFonts w:ascii="Hind" w:hAnsi="Hind" w:cs="Hind"/>
          <w:color w:val="000000"/>
          <w:sz w:val="18"/>
          <w:szCs w:val="18"/>
        </w:rPr>
        <w:tab/>
      </w:r>
      <w:r w:rsidR="006F3EF3" w:rsidRPr="007F5F39">
        <w:rPr>
          <w:rFonts w:ascii="Calibri" w:hAnsi="Calibri" w:cs="Arial"/>
          <w:sz w:val="22"/>
          <w:szCs w:val="18"/>
        </w:rPr>
        <w:sym w:font="Wingdings" w:char="F0A8"/>
      </w:r>
      <w:r w:rsidR="006F3EF3" w:rsidRPr="007F5F39">
        <w:rPr>
          <w:rFonts w:ascii="Calibri" w:hAnsi="Calibri" w:cs="Arial"/>
          <w:sz w:val="22"/>
          <w:szCs w:val="18"/>
        </w:rPr>
        <w:t xml:space="preserve">  </w:t>
      </w:r>
      <w:r w:rsidR="006F3EF3" w:rsidRPr="007F5F39">
        <w:rPr>
          <w:rFonts w:ascii="Hind" w:hAnsi="Hind" w:cs="Hind"/>
          <w:color w:val="000000"/>
          <w:sz w:val="20"/>
          <w:szCs w:val="22"/>
        </w:rPr>
        <w:t>Pr</w:t>
      </w:r>
      <w:r w:rsidR="006F3EF3">
        <w:rPr>
          <w:rFonts w:ascii="Hind" w:hAnsi="Hind" w:cs="Hind"/>
          <w:color w:val="000000"/>
          <w:sz w:val="20"/>
          <w:szCs w:val="22"/>
        </w:rPr>
        <w:t>ocurement</w:t>
      </w:r>
    </w:p>
    <w:p w14:paraId="3A016D55" w14:textId="6D6C46BF" w:rsidR="00B65E69" w:rsidRPr="007F5F39" w:rsidRDefault="001131A5" w:rsidP="00BE0EDB">
      <w:pPr>
        <w:tabs>
          <w:tab w:val="left" w:pos="284"/>
          <w:tab w:val="left" w:pos="5103"/>
          <w:tab w:val="left" w:pos="5387"/>
        </w:tabs>
        <w:rPr>
          <w:rFonts w:ascii="Hind" w:hAnsi="Hind" w:cs="Hind"/>
          <w:color w:val="000000"/>
          <w:sz w:val="18"/>
          <w:szCs w:val="22"/>
        </w:rPr>
      </w:pPr>
      <w:r w:rsidRPr="007F5F39">
        <w:rPr>
          <w:rFonts w:ascii="Hind" w:hAnsi="Hind" w:cs="Hind"/>
          <w:color w:val="000000"/>
          <w:sz w:val="18"/>
          <w:szCs w:val="18"/>
        </w:rPr>
        <w:tab/>
      </w:r>
      <w:r w:rsidR="008E300F" w:rsidRPr="007F5F39">
        <w:rPr>
          <w:rFonts w:ascii="Hind" w:hAnsi="Hind" w:cs="Hind"/>
          <w:color w:val="000000"/>
          <w:sz w:val="18"/>
          <w:szCs w:val="18"/>
        </w:rPr>
        <w:t>population areas)</w:t>
      </w:r>
      <w:r w:rsidR="00B8777C" w:rsidRPr="007F5F39">
        <w:rPr>
          <w:rFonts w:ascii="Calibri" w:hAnsi="Calibri" w:cs="Arial"/>
          <w:sz w:val="22"/>
          <w:szCs w:val="18"/>
        </w:rPr>
        <w:tab/>
      </w:r>
      <w:r w:rsidR="006F3EF3" w:rsidRPr="007F5F39">
        <w:rPr>
          <w:rFonts w:ascii="Calibri" w:hAnsi="Calibri" w:cs="Arial"/>
          <w:sz w:val="22"/>
          <w:szCs w:val="18"/>
        </w:rPr>
        <w:sym w:font="Wingdings" w:char="F0A8"/>
      </w:r>
      <w:r w:rsidR="006F3EF3" w:rsidRPr="007F5F39">
        <w:rPr>
          <w:rFonts w:ascii="Calibri" w:hAnsi="Calibri" w:cs="Arial"/>
          <w:sz w:val="22"/>
          <w:szCs w:val="18"/>
        </w:rPr>
        <w:t xml:space="preserve">  </w:t>
      </w:r>
      <w:r w:rsidR="006F3EF3" w:rsidRPr="007F5F39">
        <w:rPr>
          <w:rFonts w:ascii="Hind" w:hAnsi="Hind" w:cs="Hind"/>
          <w:color w:val="000000"/>
          <w:sz w:val="20"/>
          <w:szCs w:val="22"/>
        </w:rPr>
        <w:t xml:space="preserve">Product stewardship &amp; </w:t>
      </w:r>
      <w:r w:rsidR="000E0051">
        <w:rPr>
          <w:rFonts w:ascii="Hind" w:hAnsi="Hind" w:cs="Hind"/>
          <w:color w:val="000000"/>
          <w:sz w:val="20"/>
          <w:szCs w:val="20"/>
        </w:rPr>
        <w:t>e</w:t>
      </w:r>
      <w:r w:rsidR="006F3EF3" w:rsidRPr="007F5F39">
        <w:rPr>
          <w:rFonts w:ascii="Hind" w:hAnsi="Hind" w:cs="Hind"/>
          <w:color w:val="000000"/>
          <w:sz w:val="20"/>
          <w:szCs w:val="20"/>
        </w:rPr>
        <w:t xml:space="preserve">xtended </w:t>
      </w:r>
      <w:r w:rsidR="000E0051">
        <w:rPr>
          <w:rFonts w:ascii="Hind" w:hAnsi="Hind" w:cs="Hind"/>
          <w:color w:val="000000"/>
          <w:sz w:val="20"/>
          <w:szCs w:val="20"/>
        </w:rPr>
        <w:t>p</w:t>
      </w:r>
      <w:r w:rsidR="006F3EF3" w:rsidRPr="007F5F39">
        <w:rPr>
          <w:rFonts w:ascii="Hind" w:hAnsi="Hind" w:cs="Hind"/>
          <w:color w:val="000000"/>
          <w:sz w:val="20"/>
          <w:szCs w:val="20"/>
        </w:rPr>
        <w:t>roducer</w:t>
      </w:r>
    </w:p>
    <w:p w14:paraId="63CC198A" w14:textId="3AC6A904" w:rsidR="006F3EF3" w:rsidRPr="007F5F39" w:rsidRDefault="00B65E69" w:rsidP="00BE0EDB">
      <w:pPr>
        <w:tabs>
          <w:tab w:val="left" w:pos="284"/>
          <w:tab w:val="left" w:pos="5103"/>
          <w:tab w:val="left" w:pos="5387"/>
        </w:tabs>
        <w:rPr>
          <w:rFonts w:ascii="Calibri" w:hAnsi="Calibri" w:cs="Arial"/>
          <w:sz w:val="20"/>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001131A5" w:rsidRPr="007F5F39">
        <w:rPr>
          <w:rFonts w:ascii="Hind" w:hAnsi="Hind" w:cs="Hind"/>
          <w:color w:val="000000"/>
          <w:sz w:val="20"/>
          <w:szCs w:val="22"/>
        </w:rPr>
        <w:t>CDS</w:t>
      </w:r>
      <w:r w:rsidR="008E300F" w:rsidRPr="007F5F39">
        <w:rPr>
          <w:rFonts w:ascii="Hind" w:hAnsi="Hind" w:cs="Hind"/>
          <w:color w:val="000000"/>
          <w:sz w:val="18"/>
          <w:szCs w:val="22"/>
        </w:rPr>
        <w:t xml:space="preserve"> (innovation, learning </w:t>
      </w:r>
      <w:r w:rsidR="008E300F" w:rsidRPr="007F5F39">
        <w:rPr>
          <w:rFonts w:ascii="Hind" w:hAnsi="Hind" w:cs="Hind"/>
          <w:color w:val="000000"/>
          <w:sz w:val="16"/>
          <w:szCs w:val="22"/>
        </w:rPr>
        <w:t xml:space="preserve">&amp; </w:t>
      </w:r>
      <w:r w:rsidR="008E300F" w:rsidRPr="007F5F39">
        <w:rPr>
          <w:rFonts w:ascii="Calibri" w:hAnsi="Calibri" w:cs="Arial"/>
          <w:sz w:val="20"/>
          <w:szCs w:val="18"/>
        </w:rPr>
        <w:t>successes)</w:t>
      </w:r>
      <w:r w:rsidRPr="007F5F39">
        <w:rPr>
          <w:rFonts w:ascii="Calibri" w:hAnsi="Calibri" w:cs="Arial"/>
          <w:sz w:val="22"/>
          <w:szCs w:val="18"/>
        </w:rPr>
        <w:tab/>
      </w:r>
      <w:r w:rsidR="00BE0EDB">
        <w:rPr>
          <w:rFonts w:ascii="Calibri" w:hAnsi="Calibri" w:cs="Arial"/>
          <w:sz w:val="22"/>
          <w:szCs w:val="18"/>
        </w:rPr>
        <w:tab/>
      </w:r>
      <w:r w:rsidR="000E0051">
        <w:rPr>
          <w:rFonts w:ascii="Hind" w:hAnsi="Hind" w:cs="Hind"/>
          <w:color w:val="000000"/>
          <w:sz w:val="20"/>
          <w:szCs w:val="20"/>
        </w:rPr>
        <w:t>r</w:t>
      </w:r>
      <w:r w:rsidR="006F3EF3" w:rsidRPr="007F5F39">
        <w:rPr>
          <w:rFonts w:ascii="Hind" w:hAnsi="Hind" w:cs="Hind"/>
          <w:color w:val="000000"/>
          <w:sz w:val="20"/>
          <w:szCs w:val="20"/>
        </w:rPr>
        <w:t>esponsibility</w:t>
      </w:r>
    </w:p>
    <w:p w14:paraId="27FC9DCC" w14:textId="30E1C214" w:rsidR="000A5685" w:rsidRPr="007F5F39" w:rsidRDefault="001131A5" w:rsidP="00BE0EDB">
      <w:pPr>
        <w:tabs>
          <w:tab w:val="left" w:pos="284"/>
          <w:tab w:val="left" w:pos="5103"/>
          <w:tab w:val="left" w:pos="5387"/>
        </w:tabs>
        <w:rPr>
          <w:rFonts w:ascii="Calibri" w:hAnsi="Calibri" w:cs="Arial"/>
          <w:sz w:val="20"/>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 xml:space="preserve">Economics </w:t>
      </w:r>
      <w:r w:rsidRPr="007F5F39">
        <w:rPr>
          <w:rFonts w:ascii="Hind" w:hAnsi="Hind" w:cs="Hind"/>
          <w:color w:val="000000"/>
          <w:sz w:val="18"/>
          <w:szCs w:val="18"/>
        </w:rPr>
        <w:t xml:space="preserve">(inc business cases, data gathering, </w:t>
      </w:r>
      <w:r w:rsidRPr="007F5F39">
        <w:rPr>
          <w:rFonts w:ascii="Hind" w:hAnsi="Hind" w:cs="Hind"/>
          <w:color w:val="000000"/>
          <w:sz w:val="18"/>
          <w:szCs w:val="18"/>
        </w:rPr>
        <w:tab/>
      </w:r>
      <w:r w:rsidR="008722AD">
        <w:rPr>
          <w:rFonts w:ascii="Calibri" w:hAnsi="Calibri" w:cs="Arial"/>
          <w:sz w:val="22"/>
          <w:szCs w:val="18"/>
        </w:rPr>
        <w:sym w:font="Wingdings" w:char="F0FC"/>
      </w:r>
      <w:r w:rsidR="006F3EF3" w:rsidRPr="007F5F39">
        <w:rPr>
          <w:rFonts w:ascii="Calibri" w:hAnsi="Calibri" w:cs="Arial"/>
          <w:sz w:val="22"/>
          <w:szCs w:val="18"/>
        </w:rPr>
        <w:t xml:space="preserve">  </w:t>
      </w:r>
      <w:r w:rsidR="006F3EF3" w:rsidRPr="007F5F39">
        <w:rPr>
          <w:rFonts w:ascii="Hind" w:hAnsi="Hind" w:cs="Hind"/>
          <w:color w:val="000000"/>
          <w:sz w:val="20"/>
          <w:szCs w:val="22"/>
        </w:rPr>
        <w:t xml:space="preserve">Recycling &amp; </w:t>
      </w:r>
      <w:r w:rsidR="000E0051">
        <w:rPr>
          <w:rFonts w:ascii="Hind" w:hAnsi="Hind" w:cs="Hind"/>
          <w:color w:val="000000"/>
          <w:sz w:val="20"/>
          <w:szCs w:val="22"/>
        </w:rPr>
        <w:t>r</w:t>
      </w:r>
      <w:r w:rsidR="006F3EF3" w:rsidRPr="007F5F39">
        <w:rPr>
          <w:rFonts w:ascii="Hind" w:hAnsi="Hind" w:cs="Hind"/>
          <w:color w:val="000000"/>
          <w:sz w:val="20"/>
          <w:szCs w:val="22"/>
        </w:rPr>
        <w:t xml:space="preserve">esource </w:t>
      </w:r>
      <w:r w:rsidR="000E0051">
        <w:rPr>
          <w:rFonts w:ascii="Hind" w:hAnsi="Hind" w:cs="Hind"/>
          <w:color w:val="000000"/>
          <w:sz w:val="20"/>
          <w:szCs w:val="22"/>
        </w:rPr>
        <w:t>r</w:t>
      </w:r>
      <w:r w:rsidR="006F3EF3" w:rsidRPr="007F5F39">
        <w:rPr>
          <w:rFonts w:ascii="Hind" w:hAnsi="Hind" w:cs="Hind"/>
          <w:color w:val="000000"/>
          <w:sz w:val="20"/>
          <w:szCs w:val="22"/>
        </w:rPr>
        <w:t xml:space="preserve">ecovery </w:t>
      </w:r>
      <w:r w:rsidR="006F3EF3" w:rsidRPr="007F5F39">
        <w:rPr>
          <w:rFonts w:ascii="Hind" w:hAnsi="Hind" w:cs="Hind"/>
          <w:color w:val="000000"/>
          <w:sz w:val="18"/>
          <w:szCs w:val="20"/>
        </w:rPr>
        <w:t>(inc Impact of</w:t>
      </w:r>
    </w:p>
    <w:p w14:paraId="213E6CB5" w14:textId="77777777" w:rsidR="001131A5" w:rsidRPr="007F5F39" w:rsidRDefault="000A5685" w:rsidP="00BE0EDB">
      <w:pPr>
        <w:tabs>
          <w:tab w:val="left" w:pos="284"/>
          <w:tab w:val="left" w:pos="5103"/>
          <w:tab w:val="left" w:pos="5387"/>
        </w:tabs>
        <w:rPr>
          <w:rFonts w:ascii="Hind" w:hAnsi="Hind" w:cs="Hind"/>
          <w:color w:val="000000"/>
          <w:sz w:val="18"/>
          <w:szCs w:val="18"/>
        </w:rPr>
      </w:pPr>
      <w:r w:rsidRPr="007F5F39">
        <w:rPr>
          <w:rFonts w:ascii="Hind" w:hAnsi="Hind" w:cs="Hind"/>
          <w:color w:val="000000"/>
          <w:sz w:val="18"/>
          <w:szCs w:val="18"/>
        </w:rPr>
        <w:tab/>
      </w:r>
      <w:r w:rsidR="001131A5" w:rsidRPr="007F5F39">
        <w:rPr>
          <w:rFonts w:ascii="Hind" w:hAnsi="Hind" w:cs="Hind"/>
          <w:color w:val="000000"/>
          <w:sz w:val="18"/>
          <w:szCs w:val="18"/>
        </w:rPr>
        <w:t>statistics, monitoring performance)</w:t>
      </w:r>
      <w:r w:rsidR="001131A5" w:rsidRPr="007F5F39">
        <w:rPr>
          <w:rFonts w:ascii="Hind" w:hAnsi="Hind" w:cs="Hind"/>
          <w:color w:val="000000"/>
          <w:sz w:val="18"/>
          <w:szCs w:val="18"/>
        </w:rPr>
        <w:tab/>
      </w:r>
      <w:r w:rsidR="00BE0EDB">
        <w:rPr>
          <w:rFonts w:ascii="Hind" w:hAnsi="Hind" w:cs="Hind"/>
          <w:color w:val="000000"/>
          <w:sz w:val="18"/>
          <w:szCs w:val="18"/>
        </w:rPr>
        <w:tab/>
      </w:r>
      <w:r w:rsidR="006F3EF3" w:rsidRPr="007F5F39">
        <w:rPr>
          <w:rFonts w:ascii="Hind" w:hAnsi="Hind" w:cs="Hind"/>
          <w:color w:val="000000"/>
          <w:sz w:val="18"/>
          <w:szCs w:val="20"/>
        </w:rPr>
        <w:t>National Sword,</w:t>
      </w:r>
      <w:r w:rsidR="006F3EF3">
        <w:rPr>
          <w:rFonts w:ascii="Hind" w:hAnsi="Hind" w:cs="Hind"/>
          <w:color w:val="000000"/>
          <w:sz w:val="18"/>
          <w:szCs w:val="20"/>
        </w:rPr>
        <w:t xml:space="preserve"> and reduced commodity prices, </w:t>
      </w:r>
      <w:r w:rsidR="006F3EF3" w:rsidRPr="007F5F39">
        <w:rPr>
          <w:rFonts w:ascii="Hind" w:hAnsi="Hind" w:cs="Hind"/>
          <w:color w:val="000000"/>
          <w:sz w:val="18"/>
          <w:szCs w:val="20"/>
        </w:rPr>
        <w:t xml:space="preserve">glass, </w:t>
      </w:r>
    </w:p>
    <w:p w14:paraId="72DD2E2C" w14:textId="329BB662" w:rsidR="001131A5" w:rsidRPr="007F5F39" w:rsidRDefault="008722AD" w:rsidP="00BE0EDB">
      <w:pPr>
        <w:tabs>
          <w:tab w:val="left" w:pos="284"/>
          <w:tab w:val="left" w:pos="5103"/>
          <w:tab w:val="left" w:pos="5387"/>
        </w:tabs>
        <w:rPr>
          <w:rFonts w:ascii="Hind" w:hAnsi="Hind" w:cs="Hind"/>
          <w:color w:val="000000"/>
          <w:sz w:val="18"/>
          <w:szCs w:val="18"/>
        </w:rPr>
      </w:pPr>
      <w:r>
        <w:rPr>
          <w:rFonts w:ascii="Calibri" w:hAnsi="Calibri" w:cs="Arial"/>
          <w:sz w:val="22"/>
          <w:szCs w:val="18"/>
        </w:rPr>
        <w:sym w:font="Wingdings" w:char="F0FC"/>
      </w:r>
      <w:r w:rsidR="001131A5" w:rsidRPr="007F5F39">
        <w:rPr>
          <w:rFonts w:ascii="Calibri" w:hAnsi="Calibri" w:cs="Arial"/>
          <w:sz w:val="22"/>
          <w:szCs w:val="18"/>
        </w:rPr>
        <w:t xml:space="preserve">  </w:t>
      </w:r>
      <w:r w:rsidR="001131A5" w:rsidRPr="007F5F39">
        <w:rPr>
          <w:rFonts w:ascii="Hind" w:hAnsi="Hind" w:cs="Hind"/>
          <w:color w:val="000000"/>
          <w:sz w:val="20"/>
          <w:szCs w:val="22"/>
        </w:rPr>
        <w:t xml:space="preserve">Education </w:t>
      </w:r>
      <w:r w:rsidR="001131A5" w:rsidRPr="007F5F39">
        <w:rPr>
          <w:rFonts w:ascii="Hind" w:hAnsi="Hind" w:cs="Hind"/>
          <w:color w:val="000000"/>
          <w:sz w:val="18"/>
          <w:szCs w:val="18"/>
        </w:rPr>
        <w:t>(</w:t>
      </w:r>
      <w:proofErr w:type="spellStart"/>
      <w:r w:rsidR="001131A5" w:rsidRPr="007F5F39">
        <w:rPr>
          <w:rFonts w:ascii="Hind" w:hAnsi="Hind" w:cs="Hind"/>
          <w:color w:val="000000"/>
          <w:sz w:val="18"/>
          <w:szCs w:val="18"/>
        </w:rPr>
        <w:t>inc</w:t>
      </w:r>
      <w:proofErr w:type="spellEnd"/>
      <w:r w:rsidR="001131A5" w:rsidRPr="007F5F39">
        <w:rPr>
          <w:rFonts w:ascii="Hind" w:hAnsi="Hind" w:cs="Hind"/>
          <w:color w:val="000000"/>
          <w:sz w:val="18"/>
          <w:szCs w:val="18"/>
        </w:rPr>
        <w:t xml:space="preserve"> behaviour change, community engagement</w:t>
      </w:r>
      <w:r w:rsidR="00182DA6" w:rsidRPr="007F5F39">
        <w:rPr>
          <w:rFonts w:ascii="Hind" w:hAnsi="Hind" w:cs="Hind"/>
          <w:color w:val="000000"/>
          <w:sz w:val="18"/>
          <w:szCs w:val="18"/>
        </w:rPr>
        <w:t>,</w:t>
      </w:r>
      <w:r w:rsidRPr="007F5F39">
        <w:rPr>
          <w:rFonts w:ascii="Hind" w:hAnsi="Hind" w:cs="Hind"/>
          <w:color w:val="000000"/>
          <w:sz w:val="18"/>
          <w:szCs w:val="20"/>
        </w:rPr>
        <w:t xml:space="preserve"> </w:t>
      </w:r>
      <w:r w:rsidR="006F3EF3" w:rsidRPr="007F5F39">
        <w:rPr>
          <w:rFonts w:ascii="Hind" w:hAnsi="Hind" w:cs="Hind"/>
          <w:color w:val="000000"/>
          <w:sz w:val="18"/>
          <w:szCs w:val="20"/>
        </w:rPr>
        <w:t>reuse case studies, CRC’s)</w:t>
      </w:r>
    </w:p>
    <w:p w14:paraId="2A4146B2" w14:textId="1124EE39" w:rsidR="001131A5" w:rsidRPr="007F5F39" w:rsidRDefault="001131A5" w:rsidP="00BE0EDB">
      <w:pPr>
        <w:tabs>
          <w:tab w:val="left" w:pos="284"/>
          <w:tab w:val="left" w:pos="5103"/>
          <w:tab w:val="left" w:pos="5387"/>
        </w:tabs>
        <w:rPr>
          <w:rFonts w:ascii="Hind" w:hAnsi="Hind" w:cs="Hind"/>
          <w:color w:val="000000"/>
          <w:sz w:val="18"/>
          <w:szCs w:val="18"/>
        </w:rPr>
      </w:pPr>
      <w:r w:rsidRPr="007F5F39">
        <w:rPr>
          <w:rFonts w:ascii="Calibri" w:hAnsi="Calibri" w:cs="Arial"/>
          <w:sz w:val="22"/>
          <w:szCs w:val="18"/>
        </w:rPr>
        <w:tab/>
      </w:r>
      <w:r w:rsidRPr="007F5F39">
        <w:rPr>
          <w:rFonts w:ascii="Hind" w:hAnsi="Hind" w:cs="Hind"/>
          <w:color w:val="000000"/>
          <w:sz w:val="18"/>
          <w:szCs w:val="18"/>
        </w:rPr>
        <w:t>social media)</w:t>
      </w:r>
      <w:r w:rsidRPr="007F5F39">
        <w:rPr>
          <w:rFonts w:ascii="Hind" w:hAnsi="Hind" w:cs="Hind"/>
          <w:color w:val="000000"/>
          <w:sz w:val="18"/>
          <w:szCs w:val="18"/>
        </w:rPr>
        <w:tab/>
      </w:r>
      <w:r w:rsidR="00182DA6" w:rsidRPr="007F5F39">
        <w:rPr>
          <w:rFonts w:ascii="Calibri" w:hAnsi="Calibri" w:cs="Arial"/>
          <w:sz w:val="22"/>
          <w:szCs w:val="18"/>
        </w:rPr>
        <w:sym w:font="Wingdings" w:char="F0A8"/>
      </w:r>
      <w:r w:rsidR="00182DA6" w:rsidRPr="007F5F39">
        <w:rPr>
          <w:rFonts w:ascii="Calibri" w:hAnsi="Calibri" w:cs="Arial"/>
          <w:sz w:val="22"/>
          <w:szCs w:val="18"/>
        </w:rPr>
        <w:t xml:space="preserve">  </w:t>
      </w:r>
      <w:r w:rsidR="00182DA6" w:rsidRPr="007F5F39">
        <w:rPr>
          <w:rFonts w:ascii="Hind" w:hAnsi="Hind" w:cs="Hind"/>
          <w:color w:val="000000"/>
          <w:sz w:val="20"/>
          <w:szCs w:val="22"/>
        </w:rPr>
        <w:t xml:space="preserve">Regional issues </w:t>
      </w:r>
      <w:r w:rsidR="00182DA6" w:rsidRPr="007F5F39">
        <w:rPr>
          <w:rFonts w:ascii="Hind" w:hAnsi="Hind" w:cs="Hind"/>
          <w:color w:val="000000"/>
          <w:sz w:val="18"/>
          <w:szCs w:val="22"/>
        </w:rPr>
        <w:t>(</w:t>
      </w:r>
      <w:proofErr w:type="spellStart"/>
      <w:r w:rsidR="00182DA6" w:rsidRPr="007F5F39">
        <w:rPr>
          <w:rFonts w:ascii="Hind" w:hAnsi="Hind" w:cs="Hind"/>
          <w:color w:val="000000"/>
          <w:sz w:val="18"/>
          <w:szCs w:val="22"/>
        </w:rPr>
        <w:t>inc</w:t>
      </w:r>
      <w:proofErr w:type="spellEnd"/>
      <w:r w:rsidR="00182DA6" w:rsidRPr="007F5F39">
        <w:rPr>
          <w:rFonts w:ascii="Hind" w:hAnsi="Hind" w:cs="Hind"/>
          <w:color w:val="000000"/>
          <w:sz w:val="18"/>
          <w:szCs w:val="22"/>
        </w:rPr>
        <w:t xml:space="preserve"> collaboration,</w:t>
      </w:r>
      <w:r w:rsidR="008722AD">
        <w:rPr>
          <w:rFonts w:ascii="Hind" w:hAnsi="Hind" w:cs="Hind"/>
          <w:color w:val="000000"/>
          <w:sz w:val="18"/>
          <w:szCs w:val="22"/>
        </w:rPr>
        <w:t xml:space="preserve"> </w:t>
      </w:r>
      <w:r w:rsidR="00182DA6" w:rsidRPr="007F5F39">
        <w:rPr>
          <w:rFonts w:ascii="Hind" w:hAnsi="Hind" w:cs="Hind"/>
          <w:color w:val="000000"/>
          <w:sz w:val="18"/>
          <w:szCs w:val="22"/>
        </w:rPr>
        <w:t>amalgamations)</w:t>
      </w:r>
    </w:p>
    <w:p w14:paraId="2541E61E" w14:textId="77777777" w:rsidR="00B65E69" w:rsidRPr="007F5F39" w:rsidRDefault="001131A5" w:rsidP="00BE0EDB">
      <w:pPr>
        <w:tabs>
          <w:tab w:val="left" w:pos="284"/>
          <w:tab w:val="left" w:pos="5103"/>
          <w:tab w:val="left" w:pos="5387"/>
        </w:tabs>
        <w:rPr>
          <w:rFonts w:ascii="Calibri" w:hAnsi="Calibri" w:cs="Arial"/>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 xml:space="preserve">Grants </w:t>
      </w:r>
      <w:r w:rsidRPr="007F5F39">
        <w:rPr>
          <w:rFonts w:ascii="Hind" w:hAnsi="Hind" w:cs="Hind"/>
          <w:color w:val="000000"/>
          <w:sz w:val="18"/>
          <w:szCs w:val="18"/>
        </w:rPr>
        <w:t>(</w:t>
      </w:r>
      <w:r w:rsidR="00182DA6" w:rsidRPr="007F5F39">
        <w:rPr>
          <w:rFonts w:ascii="Hind" w:hAnsi="Hind" w:cs="Hind"/>
          <w:color w:val="000000"/>
          <w:sz w:val="18"/>
          <w:szCs w:val="18"/>
        </w:rPr>
        <w:t>m</w:t>
      </w:r>
      <w:r w:rsidRPr="007F5F39">
        <w:rPr>
          <w:rFonts w:ascii="Hind" w:hAnsi="Hind" w:cs="Hind"/>
          <w:color w:val="000000"/>
          <w:sz w:val="18"/>
          <w:szCs w:val="18"/>
        </w:rPr>
        <w:t>ajor waste grants, outcomes and processes)</w:t>
      </w:r>
      <w:r w:rsidRPr="007F5F39">
        <w:rPr>
          <w:rFonts w:ascii="Hind" w:hAnsi="Hind" w:cs="Hind"/>
          <w:color w:val="000000"/>
          <w:sz w:val="18"/>
          <w:szCs w:val="18"/>
        </w:rPr>
        <w:tab/>
      </w:r>
      <w:r w:rsidR="00182DA6" w:rsidRPr="007F5F39">
        <w:rPr>
          <w:rFonts w:ascii="Calibri" w:hAnsi="Calibri" w:cs="Arial"/>
          <w:sz w:val="22"/>
          <w:szCs w:val="18"/>
        </w:rPr>
        <w:sym w:font="Wingdings" w:char="F0A8"/>
      </w:r>
      <w:r w:rsidR="00182DA6" w:rsidRPr="007F5F39">
        <w:rPr>
          <w:rFonts w:ascii="Calibri" w:hAnsi="Calibri" w:cs="Arial"/>
          <w:sz w:val="22"/>
          <w:szCs w:val="18"/>
        </w:rPr>
        <w:t xml:space="preserve">  </w:t>
      </w:r>
      <w:r w:rsidR="00182DA6" w:rsidRPr="007F5F39">
        <w:rPr>
          <w:rFonts w:ascii="Hind" w:hAnsi="Hind" w:cs="Hind"/>
          <w:color w:val="000000"/>
          <w:sz w:val="20"/>
          <w:szCs w:val="22"/>
        </w:rPr>
        <w:t xml:space="preserve">Regulations &amp; levies </w:t>
      </w:r>
      <w:r w:rsidR="00182DA6" w:rsidRPr="007F5F39">
        <w:rPr>
          <w:rFonts w:ascii="Hind" w:hAnsi="Hind" w:cs="Hind"/>
          <w:color w:val="000000"/>
          <w:sz w:val="18"/>
          <w:szCs w:val="22"/>
        </w:rPr>
        <w:t>(inc monitoring &amp;</w:t>
      </w:r>
    </w:p>
    <w:p w14:paraId="6C25E35D" w14:textId="50D3C903" w:rsidR="001131A5" w:rsidRPr="007F5F39" w:rsidRDefault="001131A5" w:rsidP="00BE0EDB">
      <w:pPr>
        <w:tabs>
          <w:tab w:val="left" w:pos="284"/>
          <w:tab w:val="left" w:pos="5103"/>
          <w:tab w:val="left" w:pos="5387"/>
        </w:tabs>
        <w:rPr>
          <w:rFonts w:ascii="Hind" w:hAnsi="Hind" w:cs="Hind"/>
          <w:color w:val="000000"/>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 xml:space="preserve">Infrastructure &amp; planning </w:t>
      </w:r>
      <w:r w:rsidRPr="007F5F39">
        <w:rPr>
          <w:rFonts w:ascii="Hind" w:hAnsi="Hind" w:cs="Hind"/>
          <w:color w:val="000000"/>
          <w:sz w:val="18"/>
          <w:szCs w:val="18"/>
        </w:rPr>
        <w:t>(</w:t>
      </w:r>
      <w:proofErr w:type="spellStart"/>
      <w:r w:rsidRPr="007F5F39">
        <w:rPr>
          <w:rFonts w:ascii="Hind" w:hAnsi="Hind" w:cs="Hind"/>
          <w:color w:val="000000"/>
          <w:sz w:val="18"/>
          <w:szCs w:val="18"/>
        </w:rPr>
        <w:t>inc</w:t>
      </w:r>
      <w:proofErr w:type="spellEnd"/>
      <w:r w:rsidRPr="007F5F39">
        <w:rPr>
          <w:rFonts w:ascii="Hind" w:hAnsi="Hind" w:cs="Hind"/>
          <w:color w:val="000000"/>
          <w:sz w:val="18"/>
          <w:szCs w:val="18"/>
        </w:rPr>
        <w:t xml:space="preserve"> C&amp;D guidelines, </w:t>
      </w:r>
      <w:proofErr w:type="spellStart"/>
      <w:r w:rsidRPr="007F5F39">
        <w:rPr>
          <w:rFonts w:ascii="Hind" w:hAnsi="Hind" w:cs="Hind"/>
          <w:color w:val="000000"/>
          <w:sz w:val="18"/>
          <w:szCs w:val="18"/>
        </w:rPr>
        <w:t>EfW</w:t>
      </w:r>
      <w:proofErr w:type="spellEnd"/>
      <w:r w:rsidRPr="007F5F39">
        <w:rPr>
          <w:rFonts w:ascii="Hind" w:hAnsi="Hind" w:cs="Hind"/>
          <w:color w:val="000000"/>
          <w:sz w:val="18"/>
          <w:szCs w:val="18"/>
        </w:rPr>
        <w:t xml:space="preserve">, AWT </w:t>
      </w:r>
      <w:r w:rsidR="00182DA6" w:rsidRPr="007F5F39">
        <w:rPr>
          <w:rFonts w:ascii="Hind" w:hAnsi="Hind" w:cs="Hind"/>
          <w:color w:val="000000"/>
          <w:sz w:val="18"/>
          <w:szCs w:val="22"/>
        </w:rPr>
        <w:t>enforcement, legal decisions, packaging waste)</w:t>
      </w:r>
    </w:p>
    <w:p w14:paraId="04905828" w14:textId="4BD97BC7" w:rsidR="000A5685" w:rsidRPr="007F5F39" w:rsidRDefault="001131A5" w:rsidP="00BE0EDB">
      <w:pPr>
        <w:tabs>
          <w:tab w:val="left" w:pos="284"/>
          <w:tab w:val="left" w:pos="5103"/>
          <w:tab w:val="left" w:pos="5387"/>
        </w:tabs>
        <w:rPr>
          <w:rFonts w:ascii="Hind" w:hAnsi="Hind" w:cs="Hind"/>
          <w:color w:val="000000"/>
          <w:sz w:val="16"/>
          <w:szCs w:val="18"/>
        </w:rPr>
      </w:pPr>
      <w:r w:rsidRPr="007F5F39">
        <w:rPr>
          <w:rFonts w:ascii="Hind" w:hAnsi="Hind" w:cs="Hind"/>
          <w:color w:val="000000"/>
          <w:sz w:val="18"/>
          <w:szCs w:val="18"/>
        </w:rPr>
        <w:tab/>
        <w:t>&amp; outputs)</w:t>
      </w:r>
      <w:r w:rsidR="00B8777C" w:rsidRPr="007F5F39">
        <w:rPr>
          <w:rFonts w:ascii="Hind" w:hAnsi="Hind" w:cs="Hind"/>
          <w:color w:val="000000"/>
          <w:sz w:val="18"/>
          <w:szCs w:val="18"/>
        </w:rPr>
        <w:tab/>
      </w:r>
      <w:r w:rsidR="008722AD">
        <w:rPr>
          <w:rFonts w:ascii="Calibri" w:hAnsi="Calibri" w:cs="Arial"/>
          <w:sz w:val="22"/>
          <w:szCs w:val="18"/>
        </w:rPr>
        <w:sym w:font="Wingdings" w:char="F0FC"/>
      </w:r>
      <w:r w:rsidR="00182DA6" w:rsidRPr="007F5F39">
        <w:rPr>
          <w:rFonts w:ascii="Calibri" w:hAnsi="Calibri" w:cs="Arial"/>
          <w:sz w:val="22"/>
          <w:szCs w:val="18"/>
        </w:rPr>
        <w:t xml:space="preserve"> </w:t>
      </w:r>
      <w:r w:rsidR="00182DA6" w:rsidRPr="007F5F39">
        <w:rPr>
          <w:rFonts w:ascii="Hind" w:hAnsi="Hind" w:cs="Hind"/>
          <w:color w:val="000000"/>
          <w:sz w:val="20"/>
          <w:szCs w:val="22"/>
        </w:rPr>
        <w:t xml:space="preserve">Social enterprise </w:t>
      </w:r>
      <w:r w:rsidR="00182DA6" w:rsidRPr="007F5F39">
        <w:rPr>
          <w:rFonts w:ascii="Hind" w:hAnsi="Hind" w:cs="Hind"/>
          <w:color w:val="000000"/>
          <w:sz w:val="18"/>
          <w:szCs w:val="22"/>
        </w:rPr>
        <w:t>(</w:t>
      </w:r>
      <w:proofErr w:type="spellStart"/>
      <w:r w:rsidR="00182DA6" w:rsidRPr="007F5F39">
        <w:rPr>
          <w:rFonts w:ascii="Hind" w:hAnsi="Hind" w:cs="Hind"/>
          <w:color w:val="000000"/>
          <w:sz w:val="18"/>
          <w:szCs w:val="22"/>
        </w:rPr>
        <w:t>inc</w:t>
      </w:r>
      <w:proofErr w:type="spellEnd"/>
      <w:r w:rsidR="00182DA6" w:rsidRPr="007F5F39">
        <w:rPr>
          <w:rFonts w:ascii="Hind" w:hAnsi="Hind" w:cs="Hind"/>
          <w:color w:val="000000"/>
          <w:sz w:val="18"/>
          <w:szCs w:val="22"/>
        </w:rPr>
        <w:t xml:space="preserve"> case studies)</w:t>
      </w:r>
    </w:p>
    <w:p w14:paraId="3092A344" w14:textId="77777777" w:rsidR="00182DA6" w:rsidRPr="007F5F39" w:rsidRDefault="001131A5" w:rsidP="00BE0EDB">
      <w:pPr>
        <w:tabs>
          <w:tab w:val="left" w:pos="284"/>
          <w:tab w:val="left" w:pos="5103"/>
          <w:tab w:val="left" w:pos="5387"/>
        </w:tabs>
        <w:rPr>
          <w:rFonts w:ascii="Hind" w:hAnsi="Hind" w:cs="Hind"/>
          <w:color w:val="000000"/>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Innovative projects</w:t>
      </w:r>
      <w:r w:rsidRPr="007F5F39">
        <w:rPr>
          <w:rFonts w:ascii="Hind" w:hAnsi="Hind" w:cs="Hind"/>
          <w:color w:val="000000"/>
          <w:sz w:val="18"/>
          <w:szCs w:val="22"/>
        </w:rPr>
        <w:t xml:space="preserve"> </w:t>
      </w:r>
      <w:r w:rsidRPr="007F5F39">
        <w:rPr>
          <w:rFonts w:ascii="Hind" w:hAnsi="Hind" w:cs="Hind"/>
          <w:color w:val="000000"/>
          <w:sz w:val="18"/>
          <w:szCs w:val="18"/>
        </w:rPr>
        <w:t>(inc artificial intelligence, case studies)</w:t>
      </w:r>
      <w:r w:rsidR="00BE0EDB">
        <w:rPr>
          <w:rFonts w:ascii="Calibri" w:hAnsi="Calibri" w:cs="Arial"/>
          <w:sz w:val="22"/>
          <w:szCs w:val="18"/>
        </w:rPr>
        <w:tab/>
      </w:r>
      <w:r w:rsidR="00182DA6" w:rsidRPr="007F5F39">
        <w:rPr>
          <w:rFonts w:ascii="Calibri" w:hAnsi="Calibri" w:cs="Arial"/>
          <w:sz w:val="22"/>
          <w:szCs w:val="18"/>
        </w:rPr>
        <w:sym w:font="Wingdings" w:char="F0A8"/>
      </w:r>
      <w:r w:rsidR="00182DA6" w:rsidRPr="007F5F39">
        <w:rPr>
          <w:rFonts w:ascii="Calibri" w:hAnsi="Calibri" w:cs="Arial"/>
          <w:sz w:val="22"/>
          <w:szCs w:val="18"/>
        </w:rPr>
        <w:t xml:space="preserve">  </w:t>
      </w:r>
      <w:r w:rsidR="00182DA6" w:rsidRPr="007F5F39">
        <w:rPr>
          <w:rFonts w:ascii="Hind" w:hAnsi="Hind" w:cs="Hind"/>
          <w:color w:val="000000"/>
          <w:sz w:val="20"/>
          <w:szCs w:val="22"/>
        </w:rPr>
        <w:t xml:space="preserve">State based issues </w:t>
      </w:r>
      <w:r w:rsidR="00182DA6" w:rsidRPr="007F5F39">
        <w:rPr>
          <w:rFonts w:ascii="Hind" w:hAnsi="Hind" w:cs="Hind"/>
          <w:color w:val="000000"/>
          <w:sz w:val="18"/>
          <w:szCs w:val="18"/>
        </w:rPr>
        <w:t>(inc media coverage,</w:t>
      </w:r>
    </w:p>
    <w:p w14:paraId="048E2C0B" w14:textId="77777777" w:rsidR="00B65E69" w:rsidRPr="007F5F39" w:rsidRDefault="001131A5" w:rsidP="00BE0EDB">
      <w:pPr>
        <w:tabs>
          <w:tab w:val="left" w:pos="284"/>
          <w:tab w:val="left" w:pos="5103"/>
          <w:tab w:val="left" w:pos="5387"/>
        </w:tabs>
        <w:rPr>
          <w:rFonts w:ascii="Calibri" w:hAnsi="Calibri" w:cs="Arial"/>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Landfill</w:t>
      </w:r>
      <w:r w:rsidR="00B65E69" w:rsidRPr="007F5F39">
        <w:rPr>
          <w:rFonts w:ascii="Calibri" w:hAnsi="Calibri" w:cs="Arial"/>
          <w:sz w:val="22"/>
          <w:szCs w:val="18"/>
        </w:rPr>
        <w:tab/>
      </w:r>
      <w:r w:rsidR="00BE0EDB">
        <w:rPr>
          <w:rFonts w:ascii="Calibri" w:hAnsi="Calibri" w:cs="Arial"/>
          <w:sz w:val="22"/>
          <w:szCs w:val="18"/>
        </w:rPr>
        <w:tab/>
      </w:r>
      <w:r w:rsidR="00182DA6" w:rsidRPr="007F5F39">
        <w:rPr>
          <w:rFonts w:ascii="Hind" w:hAnsi="Hind" w:cs="Hind"/>
          <w:color w:val="000000"/>
          <w:sz w:val="18"/>
          <w:szCs w:val="18"/>
        </w:rPr>
        <w:t>transportation between states, waste crime)</w:t>
      </w:r>
    </w:p>
    <w:p w14:paraId="5D3C4848" w14:textId="02B332A7" w:rsidR="000A5685" w:rsidRPr="007F5F39" w:rsidRDefault="001131A5" w:rsidP="00BE0EDB">
      <w:pPr>
        <w:tabs>
          <w:tab w:val="left" w:pos="284"/>
          <w:tab w:val="left" w:pos="5103"/>
          <w:tab w:val="left" w:pos="5387"/>
        </w:tabs>
        <w:rPr>
          <w:rFonts w:ascii="Hind" w:hAnsi="Hind" w:cs="Hind"/>
          <w:color w:val="000000"/>
          <w:sz w:val="20"/>
          <w:szCs w:val="22"/>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 xml:space="preserve">Litter &amp; illegal dumping </w:t>
      </w:r>
      <w:r w:rsidRPr="007F5F39">
        <w:rPr>
          <w:rFonts w:ascii="Hind" w:hAnsi="Hind" w:cs="Hind"/>
          <w:color w:val="000000"/>
          <w:sz w:val="18"/>
          <w:szCs w:val="18"/>
        </w:rPr>
        <w:t>(</w:t>
      </w:r>
      <w:proofErr w:type="spellStart"/>
      <w:r w:rsidRPr="007F5F39">
        <w:rPr>
          <w:rFonts w:ascii="Hind" w:hAnsi="Hind" w:cs="Hind"/>
          <w:color w:val="000000"/>
          <w:sz w:val="18"/>
          <w:szCs w:val="18"/>
        </w:rPr>
        <w:t>inc</w:t>
      </w:r>
      <w:proofErr w:type="spellEnd"/>
      <w:r w:rsidRPr="007F5F39">
        <w:rPr>
          <w:rFonts w:ascii="Hind" w:hAnsi="Hind" w:cs="Hind"/>
          <w:color w:val="000000"/>
          <w:sz w:val="18"/>
          <w:szCs w:val="18"/>
        </w:rPr>
        <w:t xml:space="preserve"> new innovative &amp; smart</w:t>
      </w:r>
      <w:r w:rsidR="00B8777C" w:rsidRPr="007F5F39">
        <w:rPr>
          <w:rFonts w:ascii="Calibri" w:hAnsi="Calibri" w:cs="Arial"/>
          <w:sz w:val="22"/>
          <w:szCs w:val="18"/>
        </w:rPr>
        <w:tab/>
      </w:r>
      <w:r w:rsidR="008722AD">
        <w:rPr>
          <w:rFonts w:ascii="Calibri" w:hAnsi="Calibri" w:cs="Arial"/>
          <w:sz w:val="22"/>
          <w:szCs w:val="18"/>
        </w:rPr>
        <w:sym w:font="Wingdings" w:char="F0FC"/>
      </w:r>
      <w:r w:rsidR="00182DA6" w:rsidRPr="007F5F39">
        <w:rPr>
          <w:rFonts w:ascii="Calibri" w:hAnsi="Calibri" w:cs="Arial"/>
          <w:sz w:val="22"/>
          <w:szCs w:val="18"/>
        </w:rPr>
        <w:t xml:space="preserve">  </w:t>
      </w:r>
      <w:r w:rsidR="00182DA6" w:rsidRPr="007F5F39">
        <w:rPr>
          <w:rFonts w:ascii="Hind" w:hAnsi="Hind" w:cs="Hind"/>
          <w:color w:val="000000"/>
          <w:sz w:val="20"/>
          <w:szCs w:val="22"/>
        </w:rPr>
        <w:t>Strategic waste planning &amp; policy</w:t>
      </w:r>
    </w:p>
    <w:p w14:paraId="6CADEB63" w14:textId="77777777" w:rsidR="00182DA6" w:rsidRPr="007F5F39" w:rsidRDefault="00026C73" w:rsidP="00BE0EDB">
      <w:pPr>
        <w:tabs>
          <w:tab w:val="left" w:pos="284"/>
          <w:tab w:val="left" w:pos="5103"/>
          <w:tab w:val="left" w:pos="5387"/>
        </w:tabs>
        <w:rPr>
          <w:rFonts w:ascii="Calibri" w:hAnsi="Calibri" w:cs="Arial"/>
          <w:sz w:val="22"/>
          <w:szCs w:val="18"/>
        </w:rPr>
      </w:pPr>
      <w:r w:rsidRPr="007F5F39">
        <w:rPr>
          <w:rFonts w:ascii="Hind" w:hAnsi="Hind" w:cs="Hind"/>
          <w:color w:val="000000"/>
          <w:sz w:val="18"/>
          <w:szCs w:val="18"/>
        </w:rPr>
        <w:tab/>
      </w:r>
      <w:r w:rsidR="001131A5" w:rsidRPr="007F5F39">
        <w:rPr>
          <w:rFonts w:ascii="Hind" w:hAnsi="Hind" w:cs="Hind"/>
          <w:color w:val="000000"/>
          <w:sz w:val="18"/>
          <w:szCs w:val="18"/>
        </w:rPr>
        <w:t>initiatives, surveillance)</w:t>
      </w:r>
      <w:r w:rsidR="001131A5" w:rsidRPr="007F5F39">
        <w:rPr>
          <w:rFonts w:ascii="Hind" w:hAnsi="Hind" w:cs="Hind"/>
          <w:color w:val="000000"/>
          <w:sz w:val="18"/>
          <w:szCs w:val="18"/>
        </w:rPr>
        <w:tab/>
      </w:r>
      <w:r w:rsidR="00182DA6" w:rsidRPr="007F5F39">
        <w:rPr>
          <w:rFonts w:ascii="Calibri" w:hAnsi="Calibri" w:cs="Arial"/>
          <w:sz w:val="22"/>
          <w:szCs w:val="18"/>
        </w:rPr>
        <w:sym w:font="Wingdings" w:char="F0A8"/>
      </w:r>
      <w:r w:rsidR="00182DA6" w:rsidRPr="007F5F39">
        <w:rPr>
          <w:rFonts w:ascii="Calibri" w:hAnsi="Calibri" w:cs="Arial"/>
          <w:sz w:val="22"/>
          <w:szCs w:val="18"/>
        </w:rPr>
        <w:t xml:space="preserve">  </w:t>
      </w:r>
      <w:r w:rsidR="00182DA6" w:rsidRPr="007F5F39">
        <w:rPr>
          <w:rFonts w:ascii="Hind" w:hAnsi="Hind" w:cs="Hind"/>
          <w:color w:val="000000"/>
          <w:sz w:val="20"/>
          <w:szCs w:val="22"/>
        </w:rPr>
        <w:t>Technology</w:t>
      </w:r>
      <w:r w:rsidR="00182DA6" w:rsidRPr="007F5F39">
        <w:rPr>
          <w:rFonts w:ascii="Calibri" w:hAnsi="Calibri" w:cs="Arial"/>
          <w:sz w:val="22"/>
          <w:szCs w:val="18"/>
        </w:rPr>
        <w:t xml:space="preserve"> </w:t>
      </w:r>
    </w:p>
    <w:p w14:paraId="672C311E" w14:textId="108F09B9" w:rsidR="008E300F" w:rsidRPr="007F5F39" w:rsidRDefault="001131A5" w:rsidP="00BE0EDB">
      <w:pPr>
        <w:tabs>
          <w:tab w:val="left" w:pos="284"/>
          <w:tab w:val="left" w:pos="5103"/>
          <w:tab w:val="left" w:pos="5387"/>
        </w:tabs>
        <w:rPr>
          <w:rFonts w:ascii="Hind" w:hAnsi="Hind" w:cs="Hind"/>
          <w:color w:val="000000"/>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 xml:space="preserve">National </w:t>
      </w:r>
      <w:r w:rsidR="000E0051">
        <w:rPr>
          <w:rFonts w:ascii="Hind" w:hAnsi="Hind" w:cs="Hind"/>
          <w:color w:val="000000"/>
          <w:sz w:val="20"/>
          <w:szCs w:val="22"/>
        </w:rPr>
        <w:t>w</w:t>
      </w:r>
      <w:r w:rsidRPr="007F5F39">
        <w:rPr>
          <w:rFonts w:ascii="Hind" w:hAnsi="Hind" w:cs="Hind"/>
          <w:color w:val="000000"/>
          <w:sz w:val="20"/>
          <w:szCs w:val="22"/>
        </w:rPr>
        <w:t xml:space="preserve">aste </w:t>
      </w:r>
      <w:r w:rsidR="000E0051">
        <w:rPr>
          <w:rFonts w:ascii="Hind" w:hAnsi="Hind" w:cs="Hind"/>
          <w:color w:val="000000"/>
          <w:sz w:val="20"/>
          <w:szCs w:val="22"/>
        </w:rPr>
        <w:t>p</w:t>
      </w:r>
      <w:r w:rsidRPr="007F5F39">
        <w:rPr>
          <w:rFonts w:ascii="Hind" w:hAnsi="Hind" w:cs="Hind"/>
          <w:color w:val="000000"/>
          <w:sz w:val="20"/>
          <w:szCs w:val="22"/>
        </w:rPr>
        <w:t xml:space="preserve">olicies &amp; </w:t>
      </w:r>
      <w:r w:rsidR="000E0051">
        <w:rPr>
          <w:rFonts w:ascii="Hind" w:hAnsi="Hind" w:cs="Hind"/>
          <w:color w:val="000000"/>
          <w:sz w:val="20"/>
          <w:szCs w:val="22"/>
        </w:rPr>
        <w:t>p</w:t>
      </w:r>
      <w:r w:rsidRPr="007F5F39">
        <w:rPr>
          <w:rFonts w:ascii="Hind" w:hAnsi="Hind" w:cs="Hind"/>
          <w:color w:val="000000"/>
          <w:sz w:val="20"/>
          <w:szCs w:val="22"/>
        </w:rPr>
        <w:t>rograms</w:t>
      </w:r>
      <w:r w:rsidR="00182DA6" w:rsidRPr="007F5F39">
        <w:rPr>
          <w:rFonts w:ascii="Hind" w:hAnsi="Hind" w:cs="Hind"/>
          <w:color w:val="000000"/>
          <w:sz w:val="20"/>
          <w:szCs w:val="22"/>
        </w:rPr>
        <w:tab/>
      </w:r>
      <w:r w:rsidR="00182DA6" w:rsidRPr="007F5F39">
        <w:rPr>
          <w:rFonts w:ascii="Calibri" w:hAnsi="Calibri" w:cs="Arial"/>
          <w:sz w:val="22"/>
          <w:szCs w:val="18"/>
        </w:rPr>
        <w:sym w:font="Wingdings" w:char="F0A8"/>
      </w:r>
      <w:r w:rsidR="00182DA6" w:rsidRPr="007F5F39">
        <w:rPr>
          <w:rFonts w:ascii="Calibri" w:hAnsi="Calibri" w:cs="Arial"/>
          <w:sz w:val="22"/>
          <w:szCs w:val="18"/>
        </w:rPr>
        <w:t xml:space="preserve">  </w:t>
      </w:r>
      <w:r w:rsidR="00182DA6" w:rsidRPr="007F5F39">
        <w:rPr>
          <w:rFonts w:ascii="Hind" w:hAnsi="Hind" w:cs="Hind"/>
          <w:color w:val="000000"/>
          <w:sz w:val="20"/>
          <w:szCs w:val="22"/>
        </w:rPr>
        <w:t>Tenders &amp; contracts</w:t>
      </w:r>
    </w:p>
    <w:p w14:paraId="25654B5A" w14:textId="77777777" w:rsidR="006F3EF3" w:rsidRPr="007F5F39" w:rsidRDefault="006F3EF3" w:rsidP="00BE0EDB">
      <w:pPr>
        <w:tabs>
          <w:tab w:val="left" w:pos="284"/>
          <w:tab w:val="left" w:pos="5103"/>
          <w:tab w:val="left" w:pos="5387"/>
        </w:tabs>
        <w:rPr>
          <w:rFonts w:ascii="Calibri" w:hAnsi="Calibri" w:cs="Arial"/>
          <w:sz w:val="18"/>
          <w:szCs w:val="18"/>
        </w:rPr>
      </w:pPr>
      <w:r w:rsidRPr="007F5F39">
        <w:rPr>
          <w:rFonts w:ascii="Calibri" w:hAnsi="Calibri" w:cs="Arial"/>
          <w:sz w:val="22"/>
          <w:szCs w:val="18"/>
        </w:rPr>
        <w:sym w:font="Wingdings" w:char="F0A8"/>
      </w:r>
      <w:r w:rsidRPr="007F5F39">
        <w:rPr>
          <w:rFonts w:ascii="Calibri" w:hAnsi="Calibri" w:cs="Arial"/>
          <w:sz w:val="22"/>
          <w:szCs w:val="18"/>
        </w:rPr>
        <w:t xml:space="preserve">  </w:t>
      </w:r>
      <w:r w:rsidRPr="007F5F39">
        <w:rPr>
          <w:rFonts w:ascii="Hind" w:hAnsi="Hind" w:cs="Hind"/>
          <w:color w:val="000000"/>
          <w:sz w:val="20"/>
          <w:szCs w:val="22"/>
        </w:rPr>
        <w:t xml:space="preserve">Organics </w:t>
      </w:r>
      <w:r w:rsidRPr="007F5F39">
        <w:rPr>
          <w:rFonts w:ascii="Hind" w:hAnsi="Hind" w:cs="Hind"/>
          <w:color w:val="000000"/>
          <w:sz w:val="18"/>
          <w:szCs w:val="18"/>
        </w:rPr>
        <w:t>(inc food waste, national food waste</w:t>
      </w:r>
      <w:r>
        <w:rPr>
          <w:rFonts w:ascii="Hind" w:hAnsi="Hind" w:cs="Hind"/>
          <w:color w:val="000000"/>
          <w:sz w:val="18"/>
          <w:szCs w:val="18"/>
        </w:rPr>
        <w:tab/>
      </w:r>
      <w:r w:rsidRPr="007F5F39">
        <w:rPr>
          <w:rFonts w:ascii="Calibri" w:hAnsi="Calibri" w:cs="Arial"/>
          <w:sz w:val="22"/>
          <w:szCs w:val="18"/>
        </w:rPr>
        <w:sym w:font="Wingdings" w:char="F0A8"/>
      </w:r>
      <w:r w:rsidRPr="007F5F39">
        <w:rPr>
          <w:rFonts w:ascii="Calibri" w:hAnsi="Calibri" w:cs="Arial"/>
          <w:sz w:val="22"/>
          <w:szCs w:val="18"/>
        </w:rPr>
        <w:t xml:space="preserve">  Other</w:t>
      </w:r>
    </w:p>
    <w:p w14:paraId="3A089469" w14:textId="77777777" w:rsidR="00B65E69" w:rsidRPr="007F5F39" w:rsidRDefault="00BE0EDB" w:rsidP="00BE0EDB">
      <w:pPr>
        <w:tabs>
          <w:tab w:val="left" w:pos="284"/>
          <w:tab w:val="left" w:pos="5103"/>
          <w:tab w:val="left" w:pos="5387"/>
        </w:tabs>
        <w:rPr>
          <w:rFonts w:ascii="Calibri" w:hAnsi="Calibri" w:cs="Arial"/>
          <w:sz w:val="22"/>
          <w:szCs w:val="18"/>
        </w:rPr>
      </w:pPr>
      <w:r>
        <w:rPr>
          <w:rFonts w:ascii="Hind" w:hAnsi="Hind" w:cs="Hind"/>
          <w:color w:val="000000"/>
          <w:sz w:val="18"/>
          <w:szCs w:val="22"/>
        </w:rPr>
        <w:tab/>
      </w:r>
      <w:r w:rsidR="006F3EF3" w:rsidRPr="007F5F39">
        <w:rPr>
          <w:rFonts w:ascii="Hind" w:hAnsi="Hind" w:cs="Hind"/>
          <w:color w:val="000000"/>
          <w:sz w:val="18"/>
          <w:szCs w:val="22"/>
        </w:rPr>
        <w:t xml:space="preserve">strategy </w:t>
      </w:r>
      <w:r w:rsidR="006F3EF3" w:rsidRPr="007F5F39">
        <w:rPr>
          <w:rFonts w:ascii="Hind" w:hAnsi="Hind" w:cs="Hind"/>
          <w:color w:val="000000"/>
          <w:sz w:val="18"/>
          <w:szCs w:val="18"/>
        </w:rPr>
        <w:t>collection, processing, pilot results)</w:t>
      </w:r>
      <w:r w:rsidR="00B65E69" w:rsidRPr="007F5F39">
        <w:rPr>
          <w:rFonts w:ascii="Calibri" w:hAnsi="Calibri" w:cs="Arial"/>
          <w:sz w:val="18"/>
          <w:szCs w:val="18"/>
        </w:rPr>
        <w:tab/>
      </w:r>
    </w:p>
    <w:p w14:paraId="76325C61" w14:textId="77777777" w:rsidR="00B65E69" w:rsidRDefault="00B65E69" w:rsidP="00B65E69">
      <w:pPr>
        <w:tabs>
          <w:tab w:val="left" w:pos="284"/>
          <w:tab w:val="left" w:pos="5103"/>
          <w:tab w:val="left" w:pos="5387"/>
        </w:tabs>
        <w:rPr>
          <w:rFonts w:ascii="Calibri" w:hAnsi="Calibri" w:cs="Arial"/>
          <w:sz w:val="22"/>
          <w:szCs w:val="18"/>
        </w:rPr>
      </w:pPr>
      <w:r>
        <w:rPr>
          <w:rFonts w:ascii="Calibri" w:hAnsi="Calibri" w:cs="Arial"/>
          <w:sz w:val="22"/>
          <w:szCs w:val="18"/>
        </w:rPr>
        <w:tab/>
      </w:r>
    </w:p>
    <w:p w14:paraId="050EE616" w14:textId="77777777" w:rsidR="003D4927" w:rsidRDefault="00B65E69" w:rsidP="0055179E">
      <w:pPr>
        <w:tabs>
          <w:tab w:val="left" w:pos="5103"/>
        </w:tabs>
        <w:rPr>
          <w:rFonts w:ascii="Calibri" w:hAnsi="Calibri" w:cs="Arial"/>
          <w:sz w:val="22"/>
          <w:szCs w:val="18"/>
        </w:rPr>
      </w:pPr>
      <w:r w:rsidRPr="00752B84">
        <w:rPr>
          <w:rFonts w:ascii="Calibri" w:hAnsi="Calibri" w:cs="Arial"/>
          <w:sz w:val="22"/>
          <w:szCs w:val="18"/>
        </w:rPr>
        <w:t xml:space="preserve">  </w:t>
      </w:r>
      <w:r w:rsidR="0055179E">
        <w:rPr>
          <w:rFonts w:ascii="Calibri" w:hAnsi="Calibri" w:cs="Arial"/>
          <w:sz w:val="22"/>
          <w:szCs w:val="18"/>
        </w:rPr>
        <w:tab/>
      </w:r>
      <w:r w:rsidR="0055179E">
        <w:rPr>
          <w:rFonts w:ascii="Calibri" w:hAnsi="Calibri" w:cs="Arial"/>
          <w:sz w:val="22"/>
          <w:szCs w:val="18"/>
        </w:rPr>
        <w:tab/>
      </w:r>
      <w:r w:rsidR="0055179E">
        <w:rPr>
          <w:rFonts w:ascii="Calibri" w:hAnsi="Calibri" w:cs="Arial"/>
          <w:sz w:val="22"/>
          <w:szCs w:val="18"/>
        </w:rPr>
        <w:tab/>
      </w:r>
      <w:r w:rsidR="0055179E">
        <w:rPr>
          <w:rFonts w:ascii="Calibri" w:hAnsi="Calibri" w:cs="Arial"/>
          <w:sz w:val="22"/>
          <w:szCs w:val="18"/>
        </w:rPr>
        <w:tab/>
      </w:r>
      <w:r w:rsidR="0055179E">
        <w:rPr>
          <w:rFonts w:ascii="Calibri" w:hAnsi="Calibri" w:cs="Arial"/>
          <w:sz w:val="22"/>
          <w:szCs w:val="18"/>
        </w:rPr>
        <w:tab/>
      </w:r>
    </w:p>
    <w:p w14:paraId="4BDC7222" w14:textId="77777777" w:rsidR="0014471E" w:rsidRDefault="0014471E">
      <w:pPr>
        <w:rPr>
          <w:rFonts w:ascii="Hind" w:hAnsi="Hind" w:cs="Hind"/>
          <w:b/>
          <w:sz w:val="20"/>
          <w:szCs w:val="22"/>
          <w:u w:val="single"/>
        </w:rPr>
      </w:pPr>
      <w:r>
        <w:rPr>
          <w:rFonts w:ascii="Hind" w:hAnsi="Hind" w:cs="Hind"/>
          <w:b/>
          <w:sz w:val="20"/>
          <w:szCs w:val="22"/>
          <w:u w:val="single"/>
        </w:rPr>
        <w:br w:type="page"/>
      </w:r>
    </w:p>
    <w:p w14:paraId="279D7C63" w14:textId="6246A95E" w:rsidR="007B258F" w:rsidRPr="00026C73" w:rsidRDefault="007B258F">
      <w:pPr>
        <w:rPr>
          <w:rFonts w:ascii="Hind" w:hAnsi="Hind" w:cs="Hind"/>
          <w:b/>
          <w:sz w:val="20"/>
          <w:szCs w:val="22"/>
          <w:u w:val="single"/>
        </w:rPr>
      </w:pPr>
      <w:r w:rsidRPr="00026C73">
        <w:rPr>
          <w:rFonts w:ascii="Hind" w:hAnsi="Hind" w:cs="Hind"/>
          <w:b/>
          <w:sz w:val="20"/>
          <w:szCs w:val="22"/>
          <w:u w:val="single"/>
        </w:rPr>
        <w:lastRenderedPageBreak/>
        <w:t>Presenter information</w:t>
      </w:r>
    </w:p>
    <w:p w14:paraId="5FB9A3C0" w14:textId="77777777" w:rsidR="008C0698" w:rsidRPr="00026C73" w:rsidRDefault="008C0698" w:rsidP="008C0698">
      <w:pPr>
        <w:tabs>
          <w:tab w:val="left" w:pos="2247"/>
        </w:tabs>
        <w:rPr>
          <w:rFonts w:ascii="Hind" w:hAnsi="Hind" w:cs="Hind"/>
          <w:b/>
          <w:sz w:val="20"/>
          <w:szCs w:val="22"/>
        </w:rPr>
      </w:pPr>
    </w:p>
    <w:p w14:paraId="6FCBE905" w14:textId="1714C0E8" w:rsidR="008C0698" w:rsidRPr="00026C73" w:rsidRDefault="008C0698" w:rsidP="008C0698">
      <w:pPr>
        <w:tabs>
          <w:tab w:val="left" w:pos="2247"/>
        </w:tabs>
        <w:rPr>
          <w:rFonts w:ascii="Hind" w:hAnsi="Hind" w:cs="Hind"/>
          <w:b/>
          <w:sz w:val="20"/>
          <w:szCs w:val="22"/>
        </w:rPr>
      </w:pPr>
      <w:r w:rsidRPr="00026C73">
        <w:rPr>
          <w:rFonts w:ascii="Hind" w:hAnsi="Hind" w:cs="Hind"/>
          <w:b/>
          <w:sz w:val="20"/>
          <w:szCs w:val="22"/>
        </w:rPr>
        <w:t xml:space="preserve">Presenter name: </w:t>
      </w:r>
      <w:r w:rsidR="008722AD">
        <w:rPr>
          <w:rFonts w:ascii="Hind" w:hAnsi="Hind" w:cs="Hind"/>
          <w:sz w:val="20"/>
          <w:szCs w:val="22"/>
        </w:rPr>
        <w:t>Dee Davidian</w:t>
      </w:r>
      <w:r w:rsidR="007E04DA">
        <w:rPr>
          <w:rFonts w:ascii="Hind" w:hAnsi="Hind" w:cs="Hind"/>
          <w:sz w:val="20"/>
          <w:szCs w:val="22"/>
        </w:rPr>
        <w:t xml:space="preserve"> and Meredith Gee</w:t>
      </w:r>
    </w:p>
    <w:p w14:paraId="7CB750B6" w14:textId="24263070" w:rsidR="008C0698" w:rsidRPr="00026C73" w:rsidRDefault="008C0698" w:rsidP="008C0698">
      <w:pPr>
        <w:rPr>
          <w:rFonts w:ascii="Hind" w:hAnsi="Hind" w:cs="Hind"/>
          <w:b/>
          <w:sz w:val="20"/>
          <w:szCs w:val="22"/>
        </w:rPr>
      </w:pPr>
      <w:r w:rsidRPr="00026C73">
        <w:rPr>
          <w:rFonts w:ascii="Hind" w:hAnsi="Hind" w:cs="Hind"/>
          <w:b/>
          <w:sz w:val="20"/>
          <w:szCs w:val="22"/>
        </w:rPr>
        <w:t xml:space="preserve">Presenter position: </w:t>
      </w:r>
      <w:r w:rsidR="008722AD">
        <w:rPr>
          <w:rFonts w:ascii="Hind" w:hAnsi="Hind" w:cs="Hind"/>
          <w:sz w:val="20"/>
          <w:szCs w:val="22"/>
        </w:rPr>
        <w:t>Senior Environmental Consultant</w:t>
      </w:r>
      <w:r w:rsidR="007E04DA">
        <w:rPr>
          <w:rFonts w:ascii="Hind" w:hAnsi="Hind" w:cs="Hind"/>
          <w:sz w:val="20"/>
          <w:szCs w:val="22"/>
        </w:rPr>
        <w:t xml:space="preserve"> (s)</w:t>
      </w:r>
    </w:p>
    <w:p w14:paraId="1FA0458A" w14:textId="7C06437C" w:rsidR="008C0698" w:rsidRPr="00026C73" w:rsidRDefault="008C0698" w:rsidP="008C0698">
      <w:pPr>
        <w:rPr>
          <w:rFonts w:ascii="Hind" w:hAnsi="Hind" w:cs="Hind"/>
          <w:b/>
          <w:sz w:val="20"/>
          <w:szCs w:val="22"/>
        </w:rPr>
      </w:pPr>
      <w:r w:rsidRPr="00026C73">
        <w:rPr>
          <w:rFonts w:ascii="Hind" w:hAnsi="Hind" w:cs="Hind"/>
          <w:b/>
          <w:sz w:val="20"/>
          <w:szCs w:val="22"/>
        </w:rPr>
        <w:t xml:space="preserve">Presenter organisation: </w:t>
      </w:r>
      <w:r w:rsidR="008722AD">
        <w:rPr>
          <w:rFonts w:ascii="Hind" w:hAnsi="Hind" w:cs="Hind"/>
          <w:sz w:val="20"/>
          <w:szCs w:val="22"/>
        </w:rPr>
        <w:t>MRA Consulting Group Pty Ltd</w:t>
      </w:r>
    </w:p>
    <w:p w14:paraId="62987681" w14:textId="7E6E5437" w:rsidR="008C0698" w:rsidRPr="00026C73" w:rsidRDefault="008C0698" w:rsidP="008C0698">
      <w:pPr>
        <w:rPr>
          <w:rFonts w:ascii="Hind" w:hAnsi="Hind" w:cs="Hind"/>
          <w:b/>
          <w:sz w:val="20"/>
          <w:szCs w:val="22"/>
        </w:rPr>
      </w:pPr>
      <w:r w:rsidRPr="00026C73">
        <w:rPr>
          <w:rFonts w:ascii="Hind" w:hAnsi="Hind" w:cs="Hind"/>
          <w:b/>
          <w:sz w:val="20"/>
          <w:szCs w:val="22"/>
        </w:rPr>
        <w:t>Presenter email address:</w:t>
      </w:r>
      <w:r w:rsidRPr="00026C73">
        <w:rPr>
          <w:rFonts w:ascii="Hind" w:hAnsi="Hind" w:cs="Hind"/>
          <w:sz w:val="20"/>
          <w:szCs w:val="22"/>
        </w:rPr>
        <w:t xml:space="preserve"> </w:t>
      </w:r>
      <w:hyperlink r:id="rId8" w:history="1">
        <w:r w:rsidR="007E04DA" w:rsidRPr="00471375">
          <w:rPr>
            <w:rStyle w:val="Hyperlink"/>
            <w:rFonts w:ascii="Hind" w:hAnsi="Hind" w:cs="Hind"/>
            <w:sz w:val="20"/>
            <w:szCs w:val="22"/>
          </w:rPr>
          <w:t>dee@mraconsulting.com.au</w:t>
        </w:r>
      </w:hyperlink>
      <w:r w:rsidR="007E04DA">
        <w:rPr>
          <w:rFonts w:ascii="Hind" w:hAnsi="Hind" w:cs="Hind"/>
          <w:sz w:val="20"/>
          <w:szCs w:val="22"/>
        </w:rPr>
        <w:t>, meredith@mraconsulting.com.au</w:t>
      </w:r>
    </w:p>
    <w:p w14:paraId="0E07159F" w14:textId="77777777" w:rsidR="008C0698" w:rsidRPr="00026C73" w:rsidRDefault="008C0698" w:rsidP="008C0698">
      <w:pPr>
        <w:rPr>
          <w:rFonts w:ascii="Hind" w:hAnsi="Hind" w:cs="Hind"/>
          <w:sz w:val="20"/>
          <w:szCs w:val="22"/>
        </w:rPr>
      </w:pPr>
      <w:r w:rsidRPr="00026C73">
        <w:rPr>
          <w:rFonts w:ascii="Hind" w:hAnsi="Hind" w:cs="Hind"/>
          <w:b/>
          <w:sz w:val="20"/>
          <w:szCs w:val="22"/>
        </w:rPr>
        <w:t xml:space="preserve">Presenter phone number: </w:t>
      </w:r>
      <w:r w:rsidRPr="00026C73">
        <w:rPr>
          <w:rFonts w:ascii="Hind" w:hAnsi="Hind" w:cs="Hind"/>
          <w:sz w:val="20"/>
          <w:szCs w:val="22"/>
        </w:rPr>
        <w:t xml:space="preserve">Insert landline </w:t>
      </w:r>
      <w:r w:rsidR="00026C73">
        <w:rPr>
          <w:rFonts w:ascii="Hind" w:hAnsi="Hind" w:cs="Hind"/>
          <w:sz w:val="20"/>
          <w:szCs w:val="22"/>
        </w:rPr>
        <w:t>number here</w:t>
      </w:r>
    </w:p>
    <w:p w14:paraId="40D537AC" w14:textId="131DB80E" w:rsidR="008C0698" w:rsidRPr="00026C73" w:rsidRDefault="008C0698" w:rsidP="008C0698">
      <w:pPr>
        <w:rPr>
          <w:rFonts w:ascii="Hind" w:hAnsi="Hind" w:cs="Hind"/>
          <w:sz w:val="20"/>
          <w:szCs w:val="22"/>
        </w:rPr>
      </w:pPr>
      <w:r w:rsidRPr="00026C73">
        <w:rPr>
          <w:rFonts w:ascii="Hind" w:hAnsi="Hind" w:cs="Hind"/>
          <w:b/>
          <w:sz w:val="20"/>
          <w:szCs w:val="22"/>
        </w:rPr>
        <w:t>Presenter mobile number:</w:t>
      </w:r>
      <w:r w:rsidRPr="00026C73">
        <w:rPr>
          <w:rFonts w:ascii="Hind" w:hAnsi="Hind" w:cs="Hind"/>
          <w:sz w:val="20"/>
          <w:szCs w:val="22"/>
        </w:rPr>
        <w:t xml:space="preserve"> </w:t>
      </w:r>
      <w:r w:rsidR="008722AD">
        <w:rPr>
          <w:rFonts w:ascii="Hind" w:hAnsi="Hind" w:cs="Hind"/>
          <w:sz w:val="20"/>
          <w:szCs w:val="22"/>
        </w:rPr>
        <w:t>0422032213</w:t>
      </w:r>
      <w:r w:rsidR="007E04DA">
        <w:rPr>
          <w:rFonts w:ascii="Hind" w:hAnsi="Hind" w:cs="Hind"/>
          <w:sz w:val="20"/>
          <w:szCs w:val="22"/>
        </w:rPr>
        <w:t xml:space="preserve"> (Dee Davidian), 0422446317 (Meredith Gee)</w:t>
      </w:r>
    </w:p>
    <w:p w14:paraId="4EC5A331" w14:textId="63136D46" w:rsidR="007F5F39" w:rsidRDefault="007F5F39">
      <w:pPr>
        <w:rPr>
          <w:rFonts w:ascii="Hind" w:hAnsi="Hind" w:cs="Hind"/>
          <w:b/>
          <w:sz w:val="20"/>
          <w:szCs w:val="22"/>
        </w:rPr>
      </w:pPr>
    </w:p>
    <w:p w14:paraId="0F126340" w14:textId="77777777" w:rsidR="00F2048F" w:rsidRPr="00026C73" w:rsidRDefault="00F2048F">
      <w:pPr>
        <w:rPr>
          <w:rFonts w:ascii="Hind" w:hAnsi="Hind" w:cs="Hind"/>
          <w:b/>
          <w:sz w:val="20"/>
          <w:szCs w:val="22"/>
        </w:rPr>
      </w:pPr>
    </w:p>
    <w:p w14:paraId="4F763690" w14:textId="20F6A34B" w:rsidR="000F3DAE" w:rsidRDefault="00ED75E3">
      <w:pPr>
        <w:rPr>
          <w:rFonts w:asciiTheme="minorHAnsi" w:hAnsiTheme="minorHAnsi" w:cs="Hind"/>
          <w:b/>
          <w:color w:val="0F243E" w:themeColor="text2" w:themeShade="80"/>
          <w:u w:val="single"/>
        </w:rPr>
      </w:pPr>
      <w:r w:rsidRPr="008722AD">
        <w:rPr>
          <w:rFonts w:asciiTheme="minorHAnsi" w:hAnsiTheme="minorHAnsi" w:cs="Hind"/>
          <w:b/>
          <w:color w:val="0F243E" w:themeColor="text2" w:themeShade="80"/>
          <w:u w:val="single"/>
        </w:rPr>
        <w:t>Biography</w:t>
      </w:r>
      <w:r w:rsidR="000F3DAE" w:rsidRPr="008722AD">
        <w:rPr>
          <w:rFonts w:asciiTheme="minorHAnsi" w:hAnsiTheme="minorHAnsi" w:cs="Hind"/>
          <w:b/>
          <w:color w:val="0F243E" w:themeColor="text2" w:themeShade="80"/>
          <w:u w:val="single"/>
        </w:rPr>
        <w:t xml:space="preserve"> </w:t>
      </w:r>
    </w:p>
    <w:p w14:paraId="30E34133" w14:textId="77777777" w:rsidR="007E04DA" w:rsidRDefault="007E04DA">
      <w:pPr>
        <w:rPr>
          <w:rFonts w:asciiTheme="minorHAnsi" w:hAnsiTheme="minorHAnsi" w:cs="Hind"/>
          <w:b/>
          <w:color w:val="0F243E" w:themeColor="text2" w:themeShade="80"/>
          <w:u w:val="single"/>
        </w:rPr>
      </w:pPr>
    </w:p>
    <w:p w14:paraId="02057905" w14:textId="60A731F8" w:rsidR="007E04DA" w:rsidRPr="008722AD" w:rsidRDefault="007E04DA">
      <w:pPr>
        <w:rPr>
          <w:rFonts w:asciiTheme="minorHAnsi" w:hAnsiTheme="minorHAnsi" w:cs="Hind"/>
          <w:b/>
          <w:color w:val="0F243E" w:themeColor="text2" w:themeShade="80"/>
          <w:u w:val="single"/>
        </w:rPr>
      </w:pPr>
      <w:r>
        <w:rPr>
          <w:rFonts w:asciiTheme="minorHAnsi" w:hAnsiTheme="minorHAnsi" w:cs="Hind"/>
          <w:b/>
          <w:color w:val="0F243E" w:themeColor="text2" w:themeShade="80"/>
          <w:u w:val="single"/>
        </w:rPr>
        <w:t>Dee Davidian</w:t>
      </w:r>
    </w:p>
    <w:p w14:paraId="7818F0E1" w14:textId="77777777" w:rsidR="00A53B20" w:rsidRPr="00A53B20" w:rsidRDefault="00A53B20" w:rsidP="00A53B20">
      <w:pPr>
        <w:pStyle w:val="Default"/>
        <w:rPr>
          <w:rFonts w:asciiTheme="minorHAnsi" w:hAnsiTheme="minorHAnsi"/>
          <w:sz w:val="22"/>
          <w:szCs w:val="22"/>
        </w:rPr>
      </w:pPr>
      <w:r w:rsidRPr="00A53B20">
        <w:rPr>
          <w:rFonts w:asciiTheme="minorHAnsi" w:hAnsiTheme="minorHAnsi"/>
          <w:sz w:val="22"/>
          <w:szCs w:val="22"/>
        </w:rPr>
        <w:t xml:space="preserve">Dee is an experienced environmental professional having worked extensively across all tiers of government, overseas and the private sector in waste and environmental management. </w:t>
      </w:r>
    </w:p>
    <w:p w14:paraId="7DD52F6F" w14:textId="77777777" w:rsidR="00A53B20" w:rsidRDefault="00A53B20" w:rsidP="00A53B20">
      <w:pPr>
        <w:pStyle w:val="Default"/>
        <w:rPr>
          <w:rFonts w:asciiTheme="minorHAnsi" w:hAnsiTheme="minorHAnsi"/>
          <w:sz w:val="22"/>
          <w:szCs w:val="22"/>
        </w:rPr>
      </w:pPr>
    </w:p>
    <w:p w14:paraId="6FDDD728" w14:textId="35FB1EB1" w:rsidR="00A53B20" w:rsidRPr="00A53B20" w:rsidRDefault="00A53B20" w:rsidP="00A53B20">
      <w:pPr>
        <w:pStyle w:val="Default"/>
        <w:rPr>
          <w:rFonts w:asciiTheme="minorHAnsi" w:hAnsiTheme="minorHAnsi"/>
          <w:sz w:val="22"/>
          <w:szCs w:val="22"/>
        </w:rPr>
      </w:pPr>
      <w:r w:rsidRPr="00A53B20">
        <w:rPr>
          <w:rFonts w:asciiTheme="minorHAnsi" w:hAnsiTheme="minorHAnsi"/>
          <w:sz w:val="22"/>
          <w:szCs w:val="22"/>
        </w:rPr>
        <w:t xml:space="preserve">Since joining MRA, Dee has worked on the City of Sydney Illegal Dumping Strategy, Edward River Council Waste Management Strategy, the Waste Management and Landfill Strategy for Hilltops Council, WSROC Bulk Waste Options Analysis, and other projects for a range of commercial and local government clients. </w:t>
      </w:r>
    </w:p>
    <w:p w14:paraId="349AAFB7" w14:textId="77777777" w:rsidR="00A53B20" w:rsidRDefault="00A53B20" w:rsidP="00A53B20">
      <w:pPr>
        <w:pStyle w:val="Default"/>
        <w:rPr>
          <w:rFonts w:asciiTheme="minorHAnsi" w:hAnsiTheme="minorHAnsi"/>
          <w:sz w:val="22"/>
          <w:szCs w:val="22"/>
        </w:rPr>
      </w:pPr>
    </w:p>
    <w:p w14:paraId="2C940E32" w14:textId="577B69E7" w:rsidR="00A53B20" w:rsidRPr="00A53B20" w:rsidRDefault="00A53B20" w:rsidP="00A53B20">
      <w:pPr>
        <w:pStyle w:val="Default"/>
        <w:rPr>
          <w:rFonts w:asciiTheme="minorHAnsi" w:hAnsiTheme="minorHAnsi"/>
          <w:sz w:val="22"/>
          <w:szCs w:val="22"/>
        </w:rPr>
      </w:pPr>
      <w:r w:rsidRPr="00A53B20">
        <w:rPr>
          <w:rFonts w:asciiTheme="minorHAnsi" w:hAnsiTheme="minorHAnsi"/>
          <w:sz w:val="22"/>
          <w:szCs w:val="22"/>
        </w:rPr>
        <w:t xml:space="preserve">Dee has strong skills in community consultation and stakeholder engagement. Dee has worked on research, evaluations and program design for the NSW Environmental Protection Authority, NSW Office of Environment and Heritage, and delivered strategic initiatives for a range of organisations and clients. </w:t>
      </w:r>
    </w:p>
    <w:p w14:paraId="03498189" w14:textId="77777777" w:rsidR="00A53B20" w:rsidRDefault="00A53B20" w:rsidP="00A53B20">
      <w:pPr>
        <w:rPr>
          <w:rFonts w:asciiTheme="minorHAnsi" w:hAnsiTheme="minorHAnsi"/>
          <w:sz w:val="22"/>
          <w:szCs w:val="22"/>
        </w:rPr>
      </w:pPr>
    </w:p>
    <w:p w14:paraId="3FB92605" w14:textId="123952CF" w:rsidR="007F5F39" w:rsidRDefault="00A53B20" w:rsidP="00A53B20">
      <w:pPr>
        <w:rPr>
          <w:rFonts w:asciiTheme="minorHAnsi" w:hAnsiTheme="minorHAnsi"/>
          <w:sz w:val="22"/>
          <w:szCs w:val="22"/>
        </w:rPr>
      </w:pPr>
      <w:r w:rsidRPr="00A53B20">
        <w:rPr>
          <w:rFonts w:asciiTheme="minorHAnsi" w:hAnsiTheme="minorHAnsi"/>
          <w:sz w:val="22"/>
          <w:szCs w:val="22"/>
        </w:rPr>
        <w:t xml:space="preserve">Dee has a diverse range of knowledge and skills that allows her to provide customised solutions for a broad range of clients to achieve their waste and sustainability goals. She is an effective as a collaborator in complex settings, and synthesizing the technical, social, environmental and delivery aspects of projects. </w:t>
      </w:r>
    </w:p>
    <w:p w14:paraId="7F48A533" w14:textId="77777777" w:rsidR="007E04DA" w:rsidRDefault="007E04DA" w:rsidP="00A53B20">
      <w:pPr>
        <w:rPr>
          <w:rFonts w:asciiTheme="minorHAnsi" w:hAnsiTheme="minorHAnsi" w:cs="Hind"/>
          <w:b/>
          <w:color w:val="0F243E" w:themeColor="text2" w:themeShade="80"/>
          <w:sz w:val="22"/>
          <w:szCs w:val="22"/>
          <w:u w:val="single"/>
        </w:rPr>
      </w:pPr>
    </w:p>
    <w:p w14:paraId="3C2A9076" w14:textId="4508D7B9" w:rsidR="007E04DA" w:rsidRDefault="007E04DA" w:rsidP="00A53B20">
      <w:pPr>
        <w:rPr>
          <w:rFonts w:asciiTheme="minorHAnsi" w:hAnsiTheme="minorHAnsi" w:cs="Hind"/>
          <w:b/>
          <w:color w:val="0F243E" w:themeColor="text2" w:themeShade="80"/>
          <w:sz w:val="22"/>
          <w:szCs w:val="22"/>
          <w:u w:val="single"/>
        </w:rPr>
      </w:pPr>
      <w:r>
        <w:rPr>
          <w:rFonts w:asciiTheme="minorHAnsi" w:hAnsiTheme="minorHAnsi" w:cs="Hind"/>
          <w:b/>
          <w:color w:val="0F243E" w:themeColor="text2" w:themeShade="80"/>
          <w:sz w:val="22"/>
          <w:szCs w:val="22"/>
          <w:u w:val="single"/>
        </w:rPr>
        <w:t>Meredith Gee</w:t>
      </w:r>
    </w:p>
    <w:p w14:paraId="275731F7" w14:textId="77777777" w:rsidR="007E04DA" w:rsidRPr="007E04DA" w:rsidRDefault="007E04DA" w:rsidP="007E04DA">
      <w:pPr>
        <w:rPr>
          <w:rFonts w:asciiTheme="minorHAnsi" w:hAnsiTheme="minorHAnsi" w:cs="Hind"/>
          <w:sz w:val="22"/>
          <w:szCs w:val="22"/>
        </w:rPr>
      </w:pPr>
      <w:r w:rsidRPr="007E04DA">
        <w:rPr>
          <w:rFonts w:asciiTheme="minorHAnsi" w:hAnsiTheme="minorHAnsi" w:cs="Hind"/>
          <w:sz w:val="22"/>
          <w:szCs w:val="22"/>
        </w:rPr>
        <w:t xml:space="preserve">Meredith is an experienced environmental professional with over 8 years of experience in both the public and private sectors in waste management, contaminated land, landfill and transfer station design, and construction. </w:t>
      </w:r>
    </w:p>
    <w:p w14:paraId="5724A7CC" w14:textId="77777777" w:rsidR="007E04DA" w:rsidRPr="007E04DA" w:rsidRDefault="007E04DA" w:rsidP="007E04DA">
      <w:pPr>
        <w:rPr>
          <w:rFonts w:asciiTheme="minorHAnsi" w:hAnsiTheme="minorHAnsi" w:cs="Hind"/>
          <w:sz w:val="22"/>
          <w:szCs w:val="22"/>
        </w:rPr>
      </w:pPr>
    </w:p>
    <w:p w14:paraId="3446197F" w14:textId="77777777" w:rsidR="007E04DA" w:rsidRPr="007E04DA" w:rsidRDefault="007E04DA" w:rsidP="007E04DA">
      <w:pPr>
        <w:rPr>
          <w:rFonts w:asciiTheme="minorHAnsi" w:hAnsiTheme="minorHAnsi" w:cs="Hind"/>
          <w:sz w:val="22"/>
          <w:szCs w:val="22"/>
        </w:rPr>
      </w:pPr>
      <w:r w:rsidRPr="007E04DA">
        <w:rPr>
          <w:rFonts w:asciiTheme="minorHAnsi" w:hAnsiTheme="minorHAnsi" w:cs="Hind"/>
          <w:sz w:val="22"/>
          <w:szCs w:val="22"/>
        </w:rPr>
        <w:t>Prior to joining MRA, Meredith worked as a senior environmental consultant at Meinhardt NSW, where she managed and conducted the environmental monitoring of eight landfills for six regional NSW councils. Meredith has also worked in sustainability behaviour change research for the NSW Office of Environment and Heritage, waste strategy development, including community engagement, for a booming regional municipality, and as a consulting environmental engineer in waste and contaminated land.</w:t>
      </w:r>
    </w:p>
    <w:p w14:paraId="004CF58E" w14:textId="77777777" w:rsidR="007E04DA" w:rsidRPr="007E04DA" w:rsidRDefault="007E04DA" w:rsidP="007E04DA">
      <w:pPr>
        <w:rPr>
          <w:rFonts w:asciiTheme="minorHAnsi" w:hAnsiTheme="minorHAnsi" w:cs="Hind"/>
          <w:sz w:val="22"/>
          <w:szCs w:val="22"/>
        </w:rPr>
      </w:pPr>
    </w:p>
    <w:p w14:paraId="185DFB97" w14:textId="237508F4" w:rsidR="007E04DA" w:rsidRPr="007E04DA" w:rsidRDefault="007E04DA" w:rsidP="007E04DA">
      <w:pPr>
        <w:rPr>
          <w:rFonts w:asciiTheme="minorHAnsi" w:hAnsiTheme="minorHAnsi" w:cs="Hind"/>
          <w:sz w:val="22"/>
          <w:szCs w:val="22"/>
        </w:rPr>
      </w:pPr>
      <w:r w:rsidRPr="007E04DA">
        <w:rPr>
          <w:rFonts w:asciiTheme="minorHAnsi" w:hAnsiTheme="minorHAnsi" w:cs="Hind"/>
          <w:sz w:val="22"/>
          <w:szCs w:val="22"/>
        </w:rPr>
        <w:t>Over her career, Meredith has demonstrated her capability to utilise her professional expertise, personal skills and enthusiasm to achieve positive outcomes for clients, the community and the environment.</w:t>
      </w:r>
    </w:p>
    <w:p w14:paraId="5F5D6B6B" w14:textId="77777777" w:rsidR="0014471E" w:rsidRDefault="0014471E">
      <w:pPr>
        <w:rPr>
          <w:rFonts w:asciiTheme="minorHAnsi" w:hAnsiTheme="minorHAnsi" w:cs="Hind"/>
          <w:b/>
          <w:color w:val="0F243E" w:themeColor="text2" w:themeShade="80"/>
          <w:u w:val="single"/>
        </w:rPr>
      </w:pPr>
      <w:r>
        <w:rPr>
          <w:rFonts w:asciiTheme="minorHAnsi" w:hAnsiTheme="minorHAnsi" w:cs="Hind"/>
          <w:b/>
          <w:color w:val="0F243E" w:themeColor="text2" w:themeShade="80"/>
          <w:u w:val="single"/>
        </w:rPr>
        <w:br w:type="page"/>
      </w:r>
    </w:p>
    <w:p w14:paraId="3CF47392" w14:textId="7B53F7FC" w:rsidR="00ED75E3" w:rsidRPr="008722AD" w:rsidRDefault="00ED75E3">
      <w:pPr>
        <w:rPr>
          <w:rFonts w:asciiTheme="minorHAnsi" w:hAnsiTheme="minorHAnsi" w:cs="Hind"/>
          <w:b/>
          <w:color w:val="0F243E" w:themeColor="text2" w:themeShade="80"/>
          <w:u w:val="single"/>
        </w:rPr>
      </w:pPr>
      <w:r w:rsidRPr="008722AD">
        <w:rPr>
          <w:rFonts w:asciiTheme="minorHAnsi" w:hAnsiTheme="minorHAnsi" w:cs="Hind"/>
          <w:b/>
          <w:color w:val="0F243E" w:themeColor="text2" w:themeShade="80"/>
          <w:u w:val="single"/>
        </w:rPr>
        <w:lastRenderedPageBreak/>
        <w:t>Abstract</w:t>
      </w:r>
      <w:r w:rsidR="000F3DAE" w:rsidRPr="008722AD">
        <w:rPr>
          <w:rFonts w:asciiTheme="minorHAnsi" w:hAnsiTheme="minorHAnsi" w:cs="Hind"/>
          <w:b/>
          <w:color w:val="0F243E" w:themeColor="text2" w:themeShade="80"/>
          <w:u w:val="single"/>
        </w:rPr>
        <w:t xml:space="preserve"> Summary</w:t>
      </w:r>
      <w:r w:rsidR="00B62110" w:rsidRPr="008722AD">
        <w:rPr>
          <w:rFonts w:asciiTheme="minorHAnsi" w:hAnsiTheme="minorHAnsi" w:cs="Hind"/>
          <w:b/>
          <w:color w:val="0F243E" w:themeColor="text2" w:themeShade="80"/>
          <w:u w:val="single"/>
        </w:rPr>
        <w:t xml:space="preserve"> </w:t>
      </w:r>
    </w:p>
    <w:p w14:paraId="09027525" w14:textId="77777777" w:rsidR="005B6BAC" w:rsidRPr="008722AD" w:rsidRDefault="005B6BAC" w:rsidP="005B6BAC">
      <w:pPr>
        <w:rPr>
          <w:rFonts w:asciiTheme="minorHAnsi" w:hAnsiTheme="minorHAnsi" w:cs="Hind"/>
          <w:color w:val="0F243E" w:themeColor="text2" w:themeShade="80"/>
          <w:sz w:val="22"/>
          <w:szCs w:val="22"/>
        </w:rPr>
      </w:pPr>
    </w:p>
    <w:p w14:paraId="1398B95E" w14:textId="0BA9BC0E" w:rsidR="004B3F61" w:rsidRPr="008722AD" w:rsidRDefault="004B3F61" w:rsidP="008722AD">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 xml:space="preserve">Efficient bulky waste management can assist Councils meet overall targets to divert 75% waste from landfill by 2021. This presentation will look at ways Councils can extract more of the treasure from one person’s </w:t>
      </w:r>
      <w:proofErr w:type="gramStart"/>
      <w:r w:rsidRPr="008722AD">
        <w:rPr>
          <w:rFonts w:asciiTheme="minorHAnsi" w:hAnsiTheme="minorHAnsi"/>
          <w:color w:val="0F243E" w:themeColor="text2" w:themeShade="80"/>
          <w:sz w:val="22"/>
          <w:szCs w:val="22"/>
        </w:rPr>
        <w:t>trash, and</w:t>
      </w:r>
      <w:proofErr w:type="gramEnd"/>
      <w:r w:rsidRPr="008722AD">
        <w:rPr>
          <w:rFonts w:asciiTheme="minorHAnsi" w:hAnsiTheme="minorHAnsi"/>
          <w:color w:val="0F243E" w:themeColor="text2" w:themeShade="80"/>
          <w:sz w:val="22"/>
          <w:szCs w:val="22"/>
        </w:rPr>
        <w:t xml:space="preserve"> suggest how Council strategies can head in the right direction towards incorporating reuse and recycling as a high performance and low risk/cost solution. We will look at lessons of the past, current trends, and future solutions.</w:t>
      </w:r>
    </w:p>
    <w:p w14:paraId="53CC521F" w14:textId="77777777" w:rsidR="00A33F9E" w:rsidRPr="008722AD" w:rsidRDefault="00A33F9E" w:rsidP="000F3DAE">
      <w:pPr>
        <w:rPr>
          <w:rFonts w:asciiTheme="minorHAnsi" w:hAnsiTheme="minorHAnsi" w:cs="Hind"/>
          <w:color w:val="0F243E" w:themeColor="text2" w:themeShade="80"/>
          <w:sz w:val="22"/>
          <w:szCs w:val="22"/>
        </w:rPr>
      </w:pPr>
    </w:p>
    <w:p w14:paraId="60774A86" w14:textId="77777777" w:rsidR="000F3DAE" w:rsidRPr="008722AD" w:rsidRDefault="000F3DAE" w:rsidP="000F3DAE">
      <w:pPr>
        <w:rPr>
          <w:rFonts w:asciiTheme="minorHAnsi" w:hAnsiTheme="minorHAnsi" w:cs="Hind"/>
          <w:b/>
          <w:color w:val="0F243E" w:themeColor="text2" w:themeShade="80"/>
          <w:u w:val="single"/>
        </w:rPr>
      </w:pPr>
      <w:r w:rsidRPr="008722AD">
        <w:rPr>
          <w:rFonts w:asciiTheme="minorHAnsi" w:hAnsiTheme="minorHAnsi" w:cs="Hind"/>
          <w:b/>
          <w:color w:val="0F243E" w:themeColor="text2" w:themeShade="80"/>
          <w:u w:val="single"/>
        </w:rPr>
        <w:t>Abstract</w:t>
      </w:r>
      <w:r w:rsidR="00F2048F" w:rsidRPr="008722AD">
        <w:rPr>
          <w:rFonts w:asciiTheme="minorHAnsi" w:hAnsiTheme="minorHAnsi" w:cs="Hind"/>
          <w:b/>
          <w:color w:val="0F243E" w:themeColor="text2" w:themeShade="80"/>
          <w:u w:val="single"/>
        </w:rPr>
        <w:t xml:space="preserve"> </w:t>
      </w:r>
    </w:p>
    <w:p w14:paraId="03D9ABEB" w14:textId="77777777" w:rsidR="004B3F61" w:rsidRPr="008722AD" w:rsidRDefault="004B3F61" w:rsidP="004B3F61">
      <w:pPr>
        <w:rPr>
          <w:rFonts w:asciiTheme="minorHAnsi" w:hAnsiTheme="minorHAnsi" w:cs="Hind"/>
          <w:i/>
          <w:color w:val="0F243E" w:themeColor="text2" w:themeShade="80"/>
          <w:sz w:val="22"/>
          <w:szCs w:val="22"/>
        </w:rPr>
      </w:pPr>
    </w:p>
    <w:p w14:paraId="250A0782" w14:textId="2F379EF3" w:rsidR="004B3F61" w:rsidRPr="008722AD" w:rsidRDefault="004B3F61" w:rsidP="004B3F61">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 xml:space="preserve">Unlike Municipal Solid Waste, or commingled recycling, the composition of bulky waste is ill-defined, and there is large variation in collection methods, accepted waste types, processing methods, processing facility and types of service providers. </w:t>
      </w:r>
    </w:p>
    <w:p w14:paraId="7A9CDC1D" w14:textId="77777777" w:rsidR="004B3F61" w:rsidRPr="008722AD" w:rsidRDefault="004B3F61" w:rsidP="004B3F61">
      <w:pPr>
        <w:rPr>
          <w:rFonts w:asciiTheme="minorHAnsi" w:hAnsiTheme="minorHAnsi"/>
          <w:color w:val="0F243E" w:themeColor="text2" w:themeShade="80"/>
          <w:sz w:val="22"/>
          <w:szCs w:val="22"/>
        </w:rPr>
      </w:pPr>
    </w:p>
    <w:p w14:paraId="0CCECED6" w14:textId="50A50F77" w:rsidR="004B3F61" w:rsidRPr="008722AD" w:rsidRDefault="004B3F61" w:rsidP="004B3F61">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 xml:space="preserve">Currently there are no specific targets for bulky waste management in NSW. In 2014-15, 248,606 tonnes were collected in clean-up collections, with 125,434 tonnes per annum being “bulky waste” as reported to the NSW EPA. </w:t>
      </w:r>
      <w:proofErr w:type="gramStart"/>
      <w:r w:rsidRPr="008722AD">
        <w:rPr>
          <w:rFonts w:asciiTheme="minorHAnsi" w:hAnsiTheme="minorHAnsi"/>
          <w:color w:val="0F243E" w:themeColor="text2" w:themeShade="80"/>
          <w:sz w:val="22"/>
          <w:szCs w:val="22"/>
        </w:rPr>
        <w:t>The majority of</w:t>
      </w:r>
      <w:proofErr w:type="gramEnd"/>
      <w:r w:rsidRPr="008722AD">
        <w:rPr>
          <w:rFonts w:asciiTheme="minorHAnsi" w:hAnsiTheme="minorHAnsi"/>
          <w:color w:val="0F243E" w:themeColor="text2" w:themeShade="80"/>
          <w:sz w:val="22"/>
          <w:szCs w:val="22"/>
        </w:rPr>
        <w:t xml:space="preserve"> this material ended up in landfill. Efficient bulky waste management can assist Councils meet overall targets to divert 75% waste from landfill by 2021. </w:t>
      </w:r>
    </w:p>
    <w:p w14:paraId="674F31CD" w14:textId="77777777" w:rsidR="004B3F61" w:rsidRPr="008722AD" w:rsidRDefault="004B3F61" w:rsidP="004B3F61">
      <w:pPr>
        <w:rPr>
          <w:rFonts w:asciiTheme="minorHAnsi" w:hAnsiTheme="minorHAnsi"/>
          <w:color w:val="0F243E" w:themeColor="text2" w:themeShade="80"/>
          <w:sz w:val="22"/>
          <w:szCs w:val="22"/>
        </w:rPr>
      </w:pPr>
    </w:p>
    <w:p w14:paraId="74E19B97" w14:textId="351C5920" w:rsidR="004B3F61" w:rsidRPr="008722AD" w:rsidRDefault="004B3F61" w:rsidP="004B3F61">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 xml:space="preserve">Reuse and recycling are key avenues for diverting waste from landfill. More recently energy recovery has provided Australia with a means for improving diversion from landfill for residual waste remaining from recycling operations. </w:t>
      </w:r>
    </w:p>
    <w:p w14:paraId="1B93F72B" w14:textId="77777777" w:rsidR="004B3F61" w:rsidRPr="008722AD" w:rsidRDefault="004B3F61" w:rsidP="004B3F61">
      <w:pPr>
        <w:rPr>
          <w:rFonts w:asciiTheme="minorHAnsi" w:hAnsiTheme="minorHAnsi"/>
          <w:color w:val="0F243E" w:themeColor="text2" w:themeShade="80"/>
          <w:sz w:val="22"/>
          <w:szCs w:val="22"/>
        </w:rPr>
      </w:pPr>
    </w:p>
    <w:p w14:paraId="0E1AE45F" w14:textId="77777777" w:rsidR="004B3F61" w:rsidRPr="008722AD" w:rsidRDefault="004B3F61" w:rsidP="004B3F61">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 xml:space="preserve">MRA has undertaken extensive research to investigate how Council systems can better maximise reuse and recycling. MRA investigated how to deliver in-house or contracted services considering factors such as community education, bulk waste collection, treatment and processing. </w:t>
      </w:r>
    </w:p>
    <w:p w14:paraId="38B7D55F" w14:textId="51533E69" w:rsidR="004B3F61" w:rsidRPr="008722AD" w:rsidRDefault="004B3F61" w:rsidP="004B3F61">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Large scale council reuse systems currently have practical limitations that prevent widespread uptake in comparison to municipal waste and recycling collection. For example, reuse at a council-level requires responsive and integrated reverse logistics systems to return a used product to a facility that can store, repair where necessary, exhibit for sale (either in a shop front or online) and transport to the new owner.</w:t>
      </w:r>
    </w:p>
    <w:p w14:paraId="018E2FFE" w14:textId="77777777" w:rsidR="004B3F61" w:rsidRPr="008722AD" w:rsidRDefault="004B3F61" w:rsidP="004B3F61">
      <w:pPr>
        <w:rPr>
          <w:rFonts w:asciiTheme="minorHAnsi" w:hAnsiTheme="minorHAnsi"/>
          <w:color w:val="0F243E" w:themeColor="text2" w:themeShade="80"/>
          <w:sz w:val="22"/>
          <w:szCs w:val="22"/>
        </w:rPr>
      </w:pPr>
    </w:p>
    <w:p w14:paraId="7F817493" w14:textId="46D3E1B0" w:rsidR="004B3F61" w:rsidRPr="008722AD" w:rsidRDefault="004B3F61" w:rsidP="004B3F61">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 xml:space="preserve">The collection phase of the bulky waste supply chain is of key importance to determine whether items can be reused/repaired. </w:t>
      </w:r>
      <w:proofErr w:type="gramStart"/>
      <w:r w:rsidRPr="008722AD">
        <w:rPr>
          <w:rFonts w:asciiTheme="minorHAnsi" w:hAnsiTheme="minorHAnsi"/>
          <w:color w:val="0F243E" w:themeColor="text2" w:themeShade="80"/>
          <w:sz w:val="22"/>
          <w:szCs w:val="22"/>
        </w:rPr>
        <w:t>In order for</w:t>
      </w:r>
      <w:proofErr w:type="gramEnd"/>
      <w:r w:rsidRPr="008722AD">
        <w:rPr>
          <w:rFonts w:asciiTheme="minorHAnsi" w:hAnsiTheme="minorHAnsi"/>
          <w:color w:val="0F243E" w:themeColor="text2" w:themeShade="80"/>
          <w:sz w:val="22"/>
          <w:szCs w:val="22"/>
        </w:rPr>
        <w:t xml:space="preserve"> bulky waste items to be reused or repaired (rather than recycled or remanufactured), they cannot be damaged. To maximise diversion, the collection phase </w:t>
      </w:r>
      <w:proofErr w:type="gramStart"/>
      <w:r w:rsidRPr="008722AD">
        <w:rPr>
          <w:rFonts w:asciiTheme="minorHAnsi" w:hAnsiTheme="minorHAnsi"/>
          <w:color w:val="0F243E" w:themeColor="text2" w:themeShade="80"/>
          <w:sz w:val="22"/>
          <w:szCs w:val="22"/>
        </w:rPr>
        <w:t>has the ability to</w:t>
      </w:r>
      <w:proofErr w:type="gramEnd"/>
      <w:r w:rsidRPr="008722AD">
        <w:rPr>
          <w:rFonts w:asciiTheme="minorHAnsi" w:hAnsiTheme="minorHAnsi"/>
          <w:color w:val="0F243E" w:themeColor="text2" w:themeShade="80"/>
          <w:sz w:val="22"/>
          <w:szCs w:val="22"/>
        </w:rPr>
        <w:t xml:space="preserve"> determine whether goods are repairable/reusable or if they need to be sent for recycling/processing. Collection design is influenced by available collection contractors, transfer station or sorting facilities, State waste legislation and EPR programs.</w:t>
      </w:r>
    </w:p>
    <w:p w14:paraId="4986028B" w14:textId="77777777" w:rsidR="004B3F61" w:rsidRPr="008722AD" w:rsidRDefault="004B3F61" w:rsidP="004B3F61">
      <w:pPr>
        <w:rPr>
          <w:rFonts w:asciiTheme="minorHAnsi" w:hAnsiTheme="minorHAnsi"/>
          <w:color w:val="0F243E" w:themeColor="text2" w:themeShade="80"/>
          <w:sz w:val="22"/>
          <w:szCs w:val="22"/>
        </w:rPr>
      </w:pPr>
    </w:p>
    <w:p w14:paraId="24622E27" w14:textId="77777777" w:rsidR="004B3F61" w:rsidRPr="008722AD" w:rsidRDefault="004B3F61" w:rsidP="004B3F61">
      <w:pPr>
        <w:rPr>
          <w:rFonts w:asciiTheme="minorHAnsi" w:hAnsiTheme="minorHAnsi"/>
          <w:color w:val="0F243E" w:themeColor="text2" w:themeShade="80"/>
          <w:sz w:val="22"/>
          <w:szCs w:val="22"/>
        </w:rPr>
      </w:pPr>
      <w:r w:rsidRPr="008722AD">
        <w:rPr>
          <w:rFonts w:asciiTheme="minorHAnsi" w:hAnsiTheme="minorHAnsi"/>
          <w:color w:val="0F243E" w:themeColor="text2" w:themeShade="80"/>
          <w:sz w:val="22"/>
          <w:szCs w:val="22"/>
        </w:rPr>
        <w:t xml:space="preserve">This presentation will look at ways Councils can extract more of the treasure from one person’s </w:t>
      </w:r>
      <w:proofErr w:type="gramStart"/>
      <w:r w:rsidRPr="008722AD">
        <w:rPr>
          <w:rFonts w:asciiTheme="minorHAnsi" w:hAnsiTheme="minorHAnsi"/>
          <w:color w:val="0F243E" w:themeColor="text2" w:themeShade="80"/>
          <w:sz w:val="22"/>
          <w:szCs w:val="22"/>
        </w:rPr>
        <w:t>trash, and</w:t>
      </w:r>
      <w:proofErr w:type="gramEnd"/>
      <w:r w:rsidRPr="008722AD">
        <w:rPr>
          <w:rFonts w:asciiTheme="minorHAnsi" w:hAnsiTheme="minorHAnsi"/>
          <w:color w:val="0F243E" w:themeColor="text2" w:themeShade="80"/>
          <w:sz w:val="22"/>
          <w:szCs w:val="22"/>
        </w:rPr>
        <w:t xml:space="preserve"> suggest how Council strategies can head in the right direction towards incorporating reuse and recycling as a high performance and low risk/cost solution. We will look at lessons of the past, current trends, and future solutions.</w:t>
      </w:r>
    </w:p>
    <w:p w14:paraId="20B5ECF6" w14:textId="77777777" w:rsidR="005B6BAC" w:rsidRPr="008722AD" w:rsidRDefault="005B6BAC" w:rsidP="000F3DAE">
      <w:pPr>
        <w:rPr>
          <w:rFonts w:asciiTheme="minorHAnsi" w:hAnsiTheme="minorHAnsi" w:cs="Arial"/>
          <w:i/>
          <w:color w:val="0F243E" w:themeColor="text2" w:themeShade="80"/>
          <w:sz w:val="22"/>
          <w:szCs w:val="22"/>
        </w:rPr>
      </w:pPr>
    </w:p>
    <w:p w14:paraId="7E506EEF" w14:textId="77777777" w:rsidR="002A5213" w:rsidRPr="008722AD" w:rsidRDefault="002A5213" w:rsidP="004640A1">
      <w:pPr>
        <w:rPr>
          <w:rFonts w:asciiTheme="minorHAnsi" w:hAnsiTheme="minorHAnsi" w:cs="Arial"/>
          <w:color w:val="0F243E" w:themeColor="text2" w:themeShade="80"/>
          <w:sz w:val="22"/>
          <w:szCs w:val="22"/>
        </w:rPr>
      </w:pPr>
    </w:p>
    <w:sectPr w:rsidR="002A5213" w:rsidRPr="008722AD" w:rsidSect="00DC227E">
      <w:headerReference w:type="default" r:id="rId9"/>
      <w:footerReference w:type="default" r:id="rId10"/>
      <w:headerReference w:type="first" r:id="rId11"/>
      <w:footerReference w:type="first" r:id="rId12"/>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479B" w14:textId="77777777" w:rsidR="00A31035" w:rsidRDefault="00A31035" w:rsidP="002A5213">
      <w:r>
        <w:separator/>
      </w:r>
    </w:p>
  </w:endnote>
  <w:endnote w:type="continuationSeparator" w:id="0">
    <w:p w14:paraId="79219919" w14:textId="77777777" w:rsidR="00A31035" w:rsidRDefault="00A31035"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panose1 w:val="020000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oho Gothic Pro">
    <w:altName w:val="Arial"/>
    <w:panose1 w:val="00000000000000000000"/>
    <w:charset w:val="00"/>
    <w:family w:val="swiss"/>
    <w:notTrueType/>
    <w:pitch w:val="variable"/>
    <w:sig w:usb0="A00000AF" w:usb1="4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E40E3" w14:textId="77777777" w:rsidR="005A0BAE" w:rsidRDefault="00A31035" w:rsidP="008C0698">
    <w:pPr>
      <w:pStyle w:val="Footer"/>
      <w:ind w:left="-1134"/>
      <w:jc w:val="right"/>
    </w:pPr>
    <w:r>
      <w:rPr>
        <w:noProof/>
      </w:rPr>
      <w:pict w14:anchorId="78DBF5DB">
        <v:shapetype id="_x0000_t202" coordsize="21600,21600" o:spt="202" path="m,l,21600r21600,l21600,xe">
          <v:stroke joinstyle="miter"/>
          <v:path gradientshapeok="t" o:connecttype="rect"/>
        </v:shapetype>
        <v:shape id="Text Box 2" o:spid="_x0000_s2050" type="#_x0000_t202" style="position:absolute;left:0;text-align:left;margin-left:81pt;margin-top:-31.5pt;width:344pt;height:4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EM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" filled="f" stroked="f">
          <v:textbox>
            <w:txbxContent>
              <w:p w14:paraId="1F78B10B" w14:textId="77777777" w:rsidR="000A5685" w:rsidRPr="000A5685" w:rsidRDefault="000A5685" w:rsidP="000A5685">
                <w:pPr>
                  <w:jc w:val="center"/>
                  <w:rPr>
                    <w:rFonts w:ascii="Hind" w:hAnsi="Hind" w:cs="Hind"/>
                    <w:color w:val="1C1C1C"/>
                    <w:sz w:val="16"/>
                    <w:szCs w:val="16"/>
                  </w:rPr>
                </w:pPr>
                <w:r w:rsidRPr="000A5685">
                  <w:rPr>
                    <w:rFonts w:ascii="Hind" w:hAnsi="Hind" w:cs="Hind"/>
                    <w:color w:val="1C1C1C"/>
                    <w:sz w:val="16"/>
                    <w:szCs w:val="16"/>
                    <w:lang w:val="fr-FR"/>
                  </w:rPr>
                  <w:t xml:space="preserve">PO Box 5057 Port Macquarie NSW 2444 | </w:t>
                </w:r>
                <w:r w:rsidRPr="000A5685">
                  <w:rPr>
                    <w:rFonts w:ascii="Hind" w:hAnsi="Hind" w:cs="Hind"/>
                    <w:color w:val="1C1C1C"/>
                    <w:sz w:val="16"/>
                    <w:szCs w:val="16"/>
                  </w:rPr>
                  <w:t>Ph: (02) 6583 8118  Fax: (02) 6583 8065</w:t>
                </w:r>
              </w:p>
              <w:p w14:paraId="742CA858" w14:textId="77777777" w:rsidR="000A5685" w:rsidRPr="000A5685" w:rsidRDefault="00A31035" w:rsidP="000A5685">
                <w:pPr>
                  <w:jc w:val="center"/>
                  <w:rPr>
                    <w:rFonts w:ascii="Hind" w:hAnsi="Hind" w:cs="Hind"/>
                    <w:color w:val="1C1C1C"/>
                    <w:sz w:val="16"/>
                    <w:szCs w:val="16"/>
                  </w:rPr>
                </w:pPr>
                <w:hyperlink r:id="rId1" w:history="1">
                  <w:r w:rsidR="000A5685" w:rsidRPr="000A5685">
                    <w:rPr>
                      <w:rStyle w:val="Hyperlink"/>
                      <w:rFonts w:ascii="Hind" w:hAnsi="Hind" w:cs="Hind"/>
                      <w:sz w:val="16"/>
                      <w:szCs w:val="16"/>
                    </w:rPr>
                    <w:t>wasteconfernce@impactenviro.com.au</w:t>
                  </w:r>
                </w:hyperlink>
                <w:r w:rsidR="000A5685" w:rsidRPr="000A5685">
                  <w:rPr>
                    <w:rFonts w:ascii="Hind" w:hAnsi="Hind" w:cs="Hind"/>
                    <w:color w:val="1C1C1C"/>
                    <w:sz w:val="16"/>
                    <w:szCs w:val="16"/>
                  </w:rPr>
                  <w:t xml:space="preserve"> | </w:t>
                </w:r>
                <w:hyperlink r:id="rId2" w:history="1">
                  <w:r w:rsidR="00CE40C0" w:rsidRPr="00B96906">
                    <w:rPr>
                      <w:rStyle w:val="Hyperlink"/>
                      <w:rFonts w:ascii="Hind" w:hAnsi="Hind" w:cs="Hind"/>
                      <w:sz w:val="16"/>
                      <w:szCs w:val="16"/>
                    </w:rPr>
                    <w:t>www.coffswasteconference.com.au</w:t>
                  </w:r>
                </w:hyperlink>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7C34" w14:textId="77777777" w:rsidR="007B258F" w:rsidRPr="000B4971" w:rsidRDefault="00A31035" w:rsidP="00882093">
    <w:pPr>
      <w:pStyle w:val="Footer"/>
      <w:ind w:left="-1134" w:right="-1134"/>
      <w:jc w:val="center"/>
    </w:pPr>
    <w:r>
      <w:rPr>
        <w:noProof/>
      </w:rPr>
      <w:pict w14:anchorId="68C317E6">
        <v:shapetype id="_x0000_t202" coordsize="21600,21600" o:spt="202" path="m,l,21600r21600,l21600,xe">
          <v:stroke joinstyle="miter"/>
          <v:path gradientshapeok="t" o:connecttype="rect"/>
        </v:shapetype>
        <v:shape id="_x0000_s2049" type="#_x0000_t202" style="position:absolute;left:0;text-align:left;margin-left:81.7pt;margin-top:-28.6pt;width:344pt;height:4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14:paraId="59F1EE38" w14:textId="77777777" w:rsidR="003D3A2E" w:rsidRPr="000A5685" w:rsidRDefault="003D3A2E" w:rsidP="003D3A2E">
                <w:pPr>
                  <w:jc w:val="center"/>
                  <w:rPr>
                    <w:rFonts w:ascii="Hind" w:hAnsi="Hind" w:cs="Hind"/>
                    <w:color w:val="1C1C1C"/>
                    <w:sz w:val="16"/>
                    <w:szCs w:val="16"/>
                  </w:rPr>
                </w:pPr>
                <w:r w:rsidRPr="000A5685">
                  <w:rPr>
                    <w:rFonts w:ascii="Hind" w:hAnsi="Hind" w:cs="Hind"/>
                    <w:color w:val="1C1C1C"/>
                    <w:sz w:val="16"/>
                    <w:szCs w:val="16"/>
                    <w:lang w:val="fr-FR"/>
                  </w:rPr>
                  <w:t xml:space="preserve">PO Box 5057 Port Macquarie NSW 2444 | </w:t>
                </w:r>
                <w:r w:rsidRPr="000A5685">
                  <w:rPr>
                    <w:rFonts w:ascii="Hind" w:hAnsi="Hind" w:cs="Hind"/>
                    <w:color w:val="1C1C1C"/>
                    <w:sz w:val="16"/>
                    <w:szCs w:val="16"/>
                  </w:rPr>
                  <w:t>Ph: (02) 6583 8118  Fax: (02) 6583 8065</w:t>
                </w:r>
              </w:p>
              <w:p w14:paraId="314CB8FB" w14:textId="77777777" w:rsidR="003D3A2E" w:rsidRPr="000A5685" w:rsidRDefault="00A31035" w:rsidP="003D3A2E">
                <w:pPr>
                  <w:jc w:val="center"/>
                  <w:rPr>
                    <w:rFonts w:ascii="Hind" w:hAnsi="Hind" w:cs="Hind"/>
                    <w:color w:val="1C1C1C"/>
                    <w:sz w:val="16"/>
                    <w:szCs w:val="16"/>
                  </w:rPr>
                </w:pPr>
                <w:hyperlink r:id="rId1" w:history="1">
                  <w:r w:rsidR="003D3A2E" w:rsidRPr="000A5685">
                    <w:rPr>
                      <w:rStyle w:val="Hyperlink"/>
                      <w:rFonts w:ascii="Hind" w:hAnsi="Hind" w:cs="Hind"/>
                      <w:sz w:val="16"/>
                      <w:szCs w:val="16"/>
                    </w:rPr>
                    <w:t>wasteconfernce@impactenviro.com.au</w:t>
                  </w:r>
                </w:hyperlink>
                <w:r w:rsidR="003D3A2E" w:rsidRPr="000A5685">
                  <w:rPr>
                    <w:rFonts w:ascii="Hind" w:hAnsi="Hind" w:cs="Hind"/>
                    <w:color w:val="1C1C1C"/>
                    <w:sz w:val="16"/>
                    <w:szCs w:val="16"/>
                  </w:rPr>
                  <w:t xml:space="preserve"> | </w:t>
                </w:r>
                <w:hyperlink r:id="rId2" w:history="1">
                  <w:r w:rsidR="00CE40C0" w:rsidRPr="00B96906">
                    <w:rPr>
                      <w:rStyle w:val="Hyperlink"/>
                      <w:rFonts w:ascii="Hind" w:hAnsi="Hind" w:cs="Hind"/>
                      <w:sz w:val="16"/>
                      <w:szCs w:val="16"/>
                    </w:rPr>
                    <w:t>www.coffswasteconference.com.au</w:t>
                  </w:r>
                </w:hyperlink>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5202" w14:textId="77777777" w:rsidR="00A31035" w:rsidRDefault="00A31035" w:rsidP="002A5213">
      <w:r>
        <w:separator/>
      </w:r>
    </w:p>
  </w:footnote>
  <w:footnote w:type="continuationSeparator" w:id="0">
    <w:p w14:paraId="4F5BBA77" w14:textId="77777777" w:rsidR="00A31035" w:rsidRDefault="00A31035"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C750" w14:textId="77777777" w:rsidR="000A5685" w:rsidRDefault="000A5685" w:rsidP="000A5685">
    <w:pPr>
      <w:pStyle w:val="Header"/>
      <w:ind w:left="-1418" w:right="-1134"/>
      <w:jc w:val="right"/>
      <w:rPr>
        <w:rFonts w:ascii="Soho Gothic Pro" w:hAnsi="Soho Gothic Pro"/>
        <w:b/>
        <w:bCs/>
        <w:color w:val="1C1C1C"/>
        <w:sz w:val="28"/>
      </w:rPr>
    </w:pPr>
  </w:p>
  <w:p w14:paraId="030C3C5B" w14:textId="77777777" w:rsidR="000A5685" w:rsidRDefault="000A5685" w:rsidP="000A5685">
    <w:pPr>
      <w:pStyle w:val="Header"/>
      <w:jc w:val="right"/>
      <w:rPr>
        <w:rFonts w:ascii="Soho Gothic Pro" w:hAnsi="Soho Gothic Pro"/>
      </w:rPr>
    </w:pPr>
  </w:p>
  <w:p w14:paraId="07741EF1" w14:textId="77777777" w:rsidR="00CE40C0" w:rsidRDefault="00CE40C0" w:rsidP="00CE40C0">
    <w:pPr>
      <w:pStyle w:val="Header"/>
      <w:ind w:left="-1418" w:right="-1134"/>
      <w:jc w:val="right"/>
      <w:rPr>
        <w:rFonts w:ascii="Soho Gothic Pro" w:hAnsi="Soho Gothic Pro"/>
        <w:b/>
        <w:bCs/>
        <w:color w:val="1C1C1C"/>
        <w:sz w:val="28"/>
      </w:rPr>
    </w:pPr>
    <w:r>
      <w:rPr>
        <w:noProof/>
      </w:rPr>
      <w:drawing>
        <wp:anchor distT="0" distB="0" distL="114300" distR="114300" simplePos="0" relativeHeight="251685888" behindDoc="1" locked="0" layoutInCell="1" allowOverlap="1" wp14:anchorId="480182B9" wp14:editId="7D00C002">
          <wp:simplePos x="0" y="0"/>
          <wp:positionH relativeFrom="page">
            <wp:posOffset>0</wp:posOffset>
          </wp:positionH>
          <wp:positionV relativeFrom="page">
            <wp:posOffset>0</wp:posOffset>
          </wp:positionV>
          <wp:extent cx="7567295" cy="1071689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716895"/>
                  </a:xfrm>
                  <a:prstGeom prst="rect">
                    <a:avLst/>
                  </a:prstGeom>
                  <a:noFill/>
                  <a:ln>
                    <a:noFill/>
                  </a:ln>
                </pic:spPr>
              </pic:pic>
            </a:graphicData>
          </a:graphic>
        </wp:anchor>
      </w:drawing>
    </w:r>
  </w:p>
  <w:p w14:paraId="0CD3B9A8" w14:textId="77777777" w:rsidR="00CE40C0" w:rsidRDefault="00CE40C0" w:rsidP="00CE40C0">
    <w:pPr>
      <w:pStyle w:val="Header"/>
      <w:ind w:left="-1418"/>
      <w:jc w:val="right"/>
      <w:rPr>
        <w:rFonts w:ascii="Soho Gothic Pro" w:hAnsi="Soho Gothic Pro"/>
      </w:rPr>
    </w:pPr>
    <w:r>
      <w:rPr>
        <w:noProof/>
      </w:rPr>
      <w:drawing>
        <wp:anchor distT="0" distB="0" distL="114300" distR="114300" simplePos="0" relativeHeight="251686912" behindDoc="0" locked="0" layoutInCell="1" allowOverlap="1" wp14:anchorId="20D3048A" wp14:editId="5A61E6B1">
          <wp:simplePos x="0" y="0"/>
          <wp:positionH relativeFrom="column">
            <wp:posOffset>-314325</wp:posOffset>
          </wp:positionH>
          <wp:positionV relativeFrom="paragraph">
            <wp:posOffset>223520</wp:posOffset>
          </wp:positionV>
          <wp:extent cx="2964815" cy="1059815"/>
          <wp:effectExtent l="0" t="0" r="698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4815" cy="1059815"/>
                  </a:xfrm>
                  <a:prstGeom prst="rect">
                    <a:avLst/>
                  </a:prstGeom>
                  <a:noFill/>
                  <a:ln>
                    <a:noFill/>
                  </a:ln>
                </pic:spPr>
              </pic:pic>
            </a:graphicData>
          </a:graphic>
        </wp:anchor>
      </w:drawing>
    </w:r>
  </w:p>
  <w:p w14:paraId="31860BAF" w14:textId="77777777" w:rsidR="00CE40C0" w:rsidRDefault="00CE40C0" w:rsidP="00CE40C0">
    <w:pPr>
      <w:pStyle w:val="Header"/>
      <w:ind w:left="-1418"/>
      <w:jc w:val="right"/>
      <w:rPr>
        <w:rFonts w:ascii="Soho Gothic Pro" w:hAnsi="Soho Gothic Pro"/>
      </w:rPr>
    </w:pPr>
  </w:p>
  <w:p w14:paraId="7E7B02DA" w14:textId="77777777" w:rsidR="00CE40C0" w:rsidRPr="000952B8" w:rsidRDefault="00CE40C0" w:rsidP="00CE40C0">
    <w:pPr>
      <w:pStyle w:val="Header"/>
      <w:jc w:val="right"/>
      <w:rPr>
        <w:rFonts w:ascii="Hind" w:hAnsi="Hind" w:cs="Hind"/>
        <w:b/>
        <w:bCs/>
        <w:color w:val="1C1C1C"/>
        <w:sz w:val="28"/>
      </w:rPr>
    </w:pPr>
    <w:r w:rsidRPr="000952B8">
      <w:rPr>
        <w:rFonts w:ascii="Hind" w:hAnsi="Hind" w:cs="Hind"/>
        <w:b/>
        <w:bCs/>
        <w:color w:val="1C1C1C"/>
        <w:sz w:val="28"/>
      </w:rPr>
      <w:t>Waste 201</w:t>
    </w:r>
    <w:r>
      <w:rPr>
        <w:rFonts w:ascii="Hind" w:hAnsi="Hind" w:cs="Hind"/>
        <w:b/>
        <w:bCs/>
        <w:color w:val="1C1C1C"/>
        <w:sz w:val="28"/>
      </w:rPr>
      <w:t>9</w:t>
    </w:r>
    <w:r w:rsidRPr="000952B8">
      <w:rPr>
        <w:rFonts w:ascii="Hind" w:hAnsi="Hind" w:cs="Hind"/>
        <w:b/>
        <w:bCs/>
        <w:color w:val="1C1C1C"/>
        <w:sz w:val="28"/>
      </w:rPr>
      <w:t xml:space="preserve"> Conference</w:t>
    </w:r>
  </w:p>
  <w:p w14:paraId="50296D0A" w14:textId="77777777" w:rsidR="00CE40C0" w:rsidRPr="000952B8" w:rsidRDefault="00CE40C0" w:rsidP="00CE40C0">
    <w:pPr>
      <w:pStyle w:val="Header"/>
      <w:jc w:val="right"/>
      <w:rPr>
        <w:rFonts w:ascii="Hind" w:hAnsi="Hind" w:cs="Hind"/>
        <w:color w:val="1C1C1C"/>
        <w:sz w:val="20"/>
      </w:rPr>
    </w:pPr>
    <w:r w:rsidRPr="000952B8">
      <w:rPr>
        <w:rFonts w:ascii="Hind" w:hAnsi="Hind" w:cs="Hind"/>
        <w:color w:val="1C1C1C"/>
        <w:sz w:val="20"/>
      </w:rPr>
      <w:t>Opal Cove Resort</w:t>
    </w:r>
  </w:p>
  <w:p w14:paraId="6048FE9C" w14:textId="77777777" w:rsidR="00CE40C0" w:rsidRPr="000952B8" w:rsidRDefault="00CE40C0" w:rsidP="00CE40C0">
    <w:pPr>
      <w:pStyle w:val="Header"/>
      <w:jc w:val="right"/>
      <w:rPr>
        <w:rFonts w:ascii="Hind" w:hAnsi="Hind" w:cs="Hind"/>
        <w:color w:val="1C1C1C"/>
        <w:sz w:val="20"/>
      </w:rPr>
    </w:pPr>
    <w:r w:rsidRPr="000952B8">
      <w:rPr>
        <w:rFonts w:ascii="Hind" w:hAnsi="Hind" w:cs="Hind"/>
        <w:color w:val="1C1C1C"/>
        <w:sz w:val="20"/>
      </w:rPr>
      <w:t xml:space="preserve">Coffs </w:t>
    </w:r>
    <w:proofErr w:type="gramStart"/>
    <w:r w:rsidRPr="000952B8">
      <w:rPr>
        <w:rFonts w:ascii="Hind" w:hAnsi="Hind" w:cs="Hind"/>
        <w:color w:val="1C1C1C"/>
        <w:sz w:val="20"/>
      </w:rPr>
      <w:t>Harbour  NSW</w:t>
    </w:r>
    <w:proofErr w:type="gramEnd"/>
    <w:r w:rsidRPr="000952B8">
      <w:rPr>
        <w:rFonts w:ascii="Hind" w:hAnsi="Hind" w:cs="Hind"/>
        <w:color w:val="1C1C1C"/>
        <w:sz w:val="20"/>
      </w:rPr>
      <w:br/>
    </w:r>
    <w:r>
      <w:rPr>
        <w:rFonts w:ascii="Hind" w:hAnsi="Hind" w:cs="Hind"/>
        <w:color w:val="1C1C1C"/>
        <w:sz w:val="20"/>
      </w:rPr>
      <w:t>14</w:t>
    </w:r>
    <w:r w:rsidRPr="000952B8">
      <w:rPr>
        <w:rFonts w:ascii="Hind" w:hAnsi="Hind" w:cs="Hind"/>
        <w:color w:val="1C1C1C"/>
        <w:sz w:val="20"/>
      </w:rPr>
      <w:t>-1</w:t>
    </w:r>
    <w:r>
      <w:rPr>
        <w:rFonts w:ascii="Hind" w:hAnsi="Hind" w:cs="Hind"/>
        <w:color w:val="1C1C1C"/>
        <w:sz w:val="20"/>
      </w:rPr>
      <w:t>6</w:t>
    </w:r>
    <w:r w:rsidRPr="000952B8">
      <w:rPr>
        <w:rFonts w:ascii="Hind" w:hAnsi="Hind" w:cs="Hind"/>
        <w:color w:val="1C1C1C"/>
        <w:sz w:val="20"/>
      </w:rPr>
      <w:t xml:space="preserve"> May 201</w:t>
    </w:r>
    <w:r>
      <w:rPr>
        <w:rFonts w:ascii="Hind" w:hAnsi="Hind" w:cs="Hind"/>
        <w:color w:val="1C1C1C"/>
        <w:sz w:val="20"/>
      </w:rPr>
      <w:t>9</w:t>
    </w:r>
  </w:p>
  <w:p w14:paraId="6B5C88AD" w14:textId="77777777"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0BC2" w14:textId="77777777" w:rsidR="00CE40C0" w:rsidRDefault="00CE40C0" w:rsidP="00CE40C0">
    <w:pPr>
      <w:pStyle w:val="Header"/>
      <w:ind w:left="-1418" w:right="-1134"/>
      <w:jc w:val="right"/>
      <w:rPr>
        <w:rFonts w:ascii="Soho Gothic Pro" w:hAnsi="Soho Gothic Pro"/>
        <w:b/>
        <w:bCs/>
        <w:color w:val="1C1C1C"/>
        <w:sz w:val="28"/>
      </w:rPr>
    </w:pPr>
    <w:r>
      <w:rPr>
        <w:noProof/>
      </w:rPr>
      <w:drawing>
        <wp:anchor distT="0" distB="0" distL="114300" distR="114300" simplePos="0" relativeHeight="251682816" behindDoc="1" locked="0" layoutInCell="1" allowOverlap="1" wp14:anchorId="2973BF6E" wp14:editId="5883B5F4">
          <wp:simplePos x="0" y="0"/>
          <wp:positionH relativeFrom="page">
            <wp:posOffset>0</wp:posOffset>
          </wp:positionH>
          <wp:positionV relativeFrom="page">
            <wp:posOffset>0</wp:posOffset>
          </wp:positionV>
          <wp:extent cx="7567295" cy="1071689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716895"/>
                  </a:xfrm>
                  <a:prstGeom prst="rect">
                    <a:avLst/>
                  </a:prstGeom>
                  <a:noFill/>
                  <a:ln>
                    <a:noFill/>
                  </a:ln>
                </pic:spPr>
              </pic:pic>
            </a:graphicData>
          </a:graphic>
        </wp:anchor>
      </w:drawing>
    </w:r>
  </w:p>
  <w:p w14:paraId="233FEF4A" w14:textId="77777777" w:rsidR="00CE40C0" w:rsidRDefault="00CE40C0" w:rsidP="00CE40C0">
    <w:pPr>
      <w:pStyle w:val="Header"/>
      <w:jc w:val="right"/>
      <w:rPr>
        <w:rFonts w:ascii="Soho Gothic Pro" w:hAnsi="Soho Gothic Pro"/>
      </w:rPr>
    </w:pPr>
  </w:p>
  <w:p w14:paraId="66CBAD3E" w14:textId="77777777" w:rsidR="00CE40C0" w:rsidRDefault="00CE40C0" w:rsidP="00CE40C0">
    <w:pPr>
      <w:pStyle w:val="Header"/>
      <w:jc w:val="right"/>
      <w:rPr>
        <w:rFonts w:ascii="Soho Gothic Pro" w:hAnsi="Soho Gothic Pro"/>
      </w:rPr>
    </w:pPr>
  </w:p>
  <w:p w14:paraId="2EC208AE" w14:textId="77777777" w:rsidR="00CE40C0" w:rsidRDefault="00CE40C0" w:rsidP="00CE40C0">
    <w:pPr>
      <w:pStyle w:val="Header"/>
      <w:ind w:left="-1418"/>
      <w:jc w:val="right"/>
      <w:rPr>
        <w:rFonts w:ascii="Soho Gothic Pro" w:hAnsi="Soho Gothic Pro"/>
      </w:rPr>
    </w:pPr>
    <w:r>
      <w:rPr>
        <w:noProof/>
      </w:rPr>
      <w:drawing>
        <wp:anchor distT="0" distB="0" distL="114300" distR="114300" simplePos="0" relativeHeight="251683840" behindDoc="0" locked="0" layoutInCell="1" allowOverlap="1" wp14:anchorId="4FE8270F" wp14:editId="182F46FD">
          <wp:simplePos x="0" y="0"/>
          <wp:positionH relativeFrom="column">
            <wp:posOffset>-314325</wp:posOffset>
          </wp:positionH>
          <wp:positionV relativeFrom="paragraph">
            <wp:posOffset>223520</wp:posOffset>
          </wp:positionV>
          <wp:extent cx="2964815" cy="105981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4815" cy="1059815"/>
                  </a:xfrm>
                  <a:prstGeom prst="rect">
                    <a:avLst/>
                  </a:prstGeom>
                  <a:noFill/>
                  <a:ln>
                    <a:noFill/>
                  </a:ln>
                </pic:spPr>
              </pic:pic>
            </a:graphicData>
          </a:graphic>
        </wp:anchor>
      </w:drawing>
    </w:r>
  </w:p>
  <w:p w14:paraId="64D3B6ED" w14:textId="77777777" w:rsidR="00CE40C0" w:rsidRDefault="00CE40C0" w:rsidP="00CE40C0">
    <w:pPr>
      <w:pStyle w:val="Header"/>
      <w:ind w:left="-1418"/>
      <w:jc w:val="right"/>
      <w:rPr>
        <w:rFonts w:ascii="Soho Gothic Pro" w:hAnsi="Soho Gothic Pro"/>
      </w:rPr>
    </w:pPr>
  </w:p>
  <w:p w14:paraId="291D9963" w14:textId="77777777" w:rsidR="00CE40C0" w:rsidRPr="000952B8" w:rsidRDefault="00CE40C0" w:rsidP="00CE40C0">
    <w:pPr>
      <w:pStyle w:val="Header"/>
      <w:jc w:val="right"/>
      <w:rPr>
        <w:rFonts w:ascii="Hind" w:hAnsi="Hind" w:cs="Hind"/>
        <w:b/>
        <w:bCs/>
        <w:color w:val="1C1C1C"/>
        <w:sz w:val="28"/>
      </w:rPr>
    </w:pPr>
    <w:r w:rsidRPr="000952B8">
      <w:rPr>
        <w:rFonts w:ascii="Hind" w:hAnsi="Hind" w:cs="Hind"/>
        <w:b/>
        <w:bCs/>
        <w:color w:val="1C1C1C"/>
        <w:sz w:val="28"/>
      </w:rPr>
      <w:t>Waste 201</w:t>
    </w:r>
    <w:r>
      <w:rPr>
        <w:rFonts w:ascii="Hind" w:hAnsi="Hind" w:cs="Hind"/>
        <w:b/>
        <w:bCs/>
        <w:color w:val="1C1C1C"/>
        <w:sz w:val="28"/>
      </w:rPr>
      <w:t>9</w:t>
    </w:r>
    <w:r w:rsidRPr="000952B8">
      <w:rPr>
        <w:rFonts w:ascii="Hind" w:hAnsi="Hind" w:cs="Hind"/>
        <w:b/>
        <w:bCs/>
        <w:color w:val="1C1C1C"/>
        <w:sz w:val="28"/>
      </w:rPr>
      <w:t xml:space="preserve"> Conference</w:t>
    </w:r>
  </w:p>
  <w:p w14:paraId="6F922508" w14:textId="77777777" w:rsidR="00CE40C0" w:rsidRPr="000952B8" w:rsidRDefault="00CE40C0" w:rsidP="00CE40C0">
    <w:pPr>
      <w:pStyle w:val="Header"/>
      <w:jc w:val="right"/>
      <w:rPr>
        <w:rFonts w:ascii="Hind" w:hAnsi="Hind" w:cs="Hind"/>
        <w:color w:val="1C1C1C"/>
        <w:sz w:val="20"/>
      </w:rPr>
    </w:pPr>
    <w:r w:rsidRPr="000952B8">
      <w:rPr>
        <w:rFonts w:ascii="Hind" w:hAnsi="Hind" w:cs="Hind"/>
        <w:color w:val="1C1C1C"/>
        <w:sz w:val="20"/>
      </w:rPr>
      <w:t>Opal Cove Resort</w:t>
    </w:r>
  </w:p>
  <w:p w14:paraId="54A39B57" w14:textId="2E062957" w:rsidR="00CE40C0" w:rsidRDefault="00CE40C0" w:rsidP="00CE40C0">
    <w:pPr>
      <w:pStyle w:val="Header"/>
      <w:jc w:val="right"/>
      <w:rPr>
        <w:rFonts w:ascii="Hind" w:hAnsi="Hind" w:cs="Hind"/>
        <w:color w:val="1C1C1C"/>
        <w:sz w:val="20"/>
      </w:rPr>
    </w:pPr>
    <w:r w:rsidRPr="000952B8">
      <w:rPr>
        <w:rFonts w:ascii="Hind" w:hAnsi="Hind" w:cs="Hind"/>
        <w:color w:val="1C1C1C"/>
        <w:sz w:val="20"/>
      </w:rPr>
      <w:t>Coffs Harbour NSW</w:t>
    </w:r>
    <w:r w:rsidRPr="000952B8">
      <w:rPr>
        <w:rFonts w:ascii="Hind" w:hAnsi="Hind" w:cs="Hind"/>
        <w:color w:val="1C1C1C"/>
        <w:sz w:val="20"/>
      </w:rPr>
      <w:br/>
    </w:r>
    <w:r>
      <w:rPr>
        <w:rFonts w:ascii="Hind" w:hAnsi="Hind" w:cs="Hind"/>
        <w:color w:val="1C1C1C"/>
        <w:sz w:val="20"/>
      </w:rPr>
      <w:t>14</w:t>
    </w:r>
    <w:r w:rsidRPr="000952B8">
      <w:rPr>
        <w:rFonts w:ascii="Hind" w:hAnsi="Hind" w:cs="Hind"/>
        <w:color w:val="1C1C1C"/>
        <w:sz w:val="20"/>
      </w:rPr>
      <w:t>-1</w:t>
    </w:r>
    <w:r>
      <w:rPr>
        <w:rFonts w:ascii="Hind" w:hAnsi="Hind" w:cs="Hind"/>
        <w:color w:val="1C1C1C"/>
        <w:sz w:val="20"/>
      </w:rPr>
      <w:t>6</w:t>
    </w:r>
    <w:r w:rsidRPr="000952B8">
      <w:rPr>
        <w:rFonts w:ascii="Hind" w:hAnsi="Hind" w:cs="Hind"/>
        <w:color w:val="1C1C1C"/>
        <w:sz w:val="20"/>
      </w:rPr>
      <w:t xml:space="preserve"> May 201</w:t>
    </w:r>
    <w:r>
      <w:rPr>
        <w:rFonts w:ascii="Hind" w:hAnsi="Hind" w:cs="Hind"/>
        <w:color w:val="1C1C1C"/>
        <w:sz w:val="20"/>
      </w:rPr>
      <w:t>9</w:t>
    </w:r>
  </w:p>
  <w:p w14:paraId="238B4720" w14:textId="77777777"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0FBB"/>
    <w:rsid w:val="00026C73"/>
    <w:rsid w:val="000633D4"/>
    <w:rsid w:val="000658D0"/>
    <w:rsid w:val="000937A9"/>
    <w:rsid w:val="000A10BD"/>
    <w:rsid w:val="000A32B0"/>
    <w:rsid w:val="000A5685"/>
    <w:rsid w:val="000A5C60"/>
    <w:rsid w:val="000B4971"/>
    <w:rsid w:val="000D1280"/>
    <w:rsid w:val="000E0051"/>
    <w:rsid w:val="000F3DAE"/>
    <w:rsid w:val="000F76A8"/>
    <w:rsid w:val="001131A5"/>
    <w:rsid w:val="00137872"/>
    <w:rsid w:val="00140375"/>
    <w:rsid w:val="0014471E"/>
    <w:rsid w:val="0015533B"/>
    <w:rsid w:val="00182DA6"/>
    <w:rsid w:val="001A0FD7"/>
    <w:rsid w:val="001D0493"/>
    <w:rsid w:val="0025530F"/>
    <w:rsid w:val="00281B6C"/>
    <w:rsid w:val="002939B5"/>
    <w:rsid w:val="0029790B"/>
    <w:rsid w:val="002A5213"/>
    <w:rsid w:val="002E3A0D"/>
    <w:rsid w:val="002F0D89"/>
    <w:rsid w:val="00316BAD"/>
    <w:rsid w:val="003257E0"/>
    <w:rsid w:val="003512FB"/>
    <w:rsid w:val="00371ABF"/>
    <w:rsid w:val="003755C2"/>
    <w:rsid w:val="003B597C"/>
    <w:rsid w:val="003D3A2E"/>
    <w:rsid w:val="003D4927"/>
    <w:rsid w:val="003E1A49"/>
    <w:rsid w:val="003E49D1"/>
    <w:rsid w:val="003E67D6"/>
    <w:rsid w:val="00441462"/>
    <w:rsid w:val="00455319"/>
    <w:rsid w:val="00455CE0"/>
    <w:rsid w:val="00463CF4"/>
    <w:rsid w:val="004640A1"/>
    <w:rsid w:val="004B3F61"/>
    <w:rsid w:val="004C0B28"/>
    <w:rsid w:val="004F18F9"/>
    <w:rsid w:val="004F5B49"/>
    <w:rsid w:val="005164D6"/>
    <w:rsid w:val="00517CB6"/>
    <w:rsid w:val="00540ACC"/>
    <w:rsid w:val="0055179E"/>
    <w:rsid w:val="005731DA"/>
    <w:rsid w:val="0058617D"/>
    <w:rsid w:val="005975C6"/>
    <w:rsid w:val="005A0994"/>
    <w:rsid w:val="005A0BAE"/>
    <w:rsid w:val="005B6BAC"/>
    <w:rsid w:val="005C3519"/>
    <w:rsid w:val="005C58B4"/>
    <w:rsid w:val="005F1B01"/>
    <w:rsid w:val="006073F6"/>
    <w:rsid w:val="00630682"/>
    <w:rsid w:val="00656CA4"/>
    <w:rsid w:val="006572A6"/>
    <w:rsid w:val="00662C5A"/>
    <w:rsid w:val="006713C6"/>
    <w:rsid w:val="00680042"/>
    <w:rsid w:val="006B503C"/>
    <w:rsid w:val="006F1EC6"/>
    <w:rsid w:val="006F3EF3"/>
    <w:rsid w:val="007023D5"/>
    <w:rsid w:val="00742B07"/>
    <w:rsid w:val="00743594"/>
    <w:rsid w:val="00752B84"/>
    <w:rsid w:val="007637CF"/>
    <w:rsid w:val="007873E4"/>
    <w:rsid w:val="007B258F"/>
    <w:rsid w:val="007D1D68"/>
    <w:rsid w:val="007E04DA"/>
    <w:rsid w:val="007F2CB7"/>
    <w:rsid w:val="007F35C4"/>
    <w:rsid w:val="007F5F39"/>
    <w:rsid w:val="008014F8"/>
    <w:rsid w:val="008102FA"/>
    <w:rsid w:val="00855A1E"/>
    <w:rsid w:val="00864965"/>
    <w:rsid w:val="008722AD"/>
    <w:rsid w:val="00882093"/>
    <w:rsid w:val="00885CD8"/>
    <w:rsid w:val="008A7806"/>
    <w:rsid w:val="008C0698"/>
    <w:rsid w:val="008E300F"/>
    <w:rsid w:val="00922BE8"/>
    <w:rsid w:val="00940188"/>
    <w:rsid w:val="0097698B"/>
    <w:rsid w:val="009843D2"/>
    <w:rsid w:val="00984819"/>
    <w:rsid w:val="0099018D"/>
    <w:rsid w:val="009919E8"/>
    <w:rsid w:val="00994AFC"/>
    <w:rsid w:val="0099653A"/>
    <w:rsid w:val="009F4D48"/>
    <w:rsid w:val="00A21F41"/>
    <w:rsid w:val="00A2259F"/>
    <w:rsid w:val="00A232D3"/>
    <w:rsid w:val="00A27373"/>
    <w:rsid w:val="00A30E3C"/>
    <w:rsid w:val="00A31035"/>
    <w:rsid w:val="00A33F9E"/>
    <w:rsid w:val="00A470A0"/>
    <w:rsid w:val="00A53B20"/>
    <w:rsid w:val="00A6017E"/>
    <w:rsid w:val="00A7075C"/>
    <w:rsid w:val="00A939A2"/>
    <w:rsid w:val="00AA1E4C"/>
    <w:rsid w:val="00AA2E61"/>
    <w:rsid w:val="00AD507C"/>
    <w:rsid w:val="00AF53AD"/>
    <w:rsid w:val="00B00A38"/>
    <w:rsid w:val="00B13350"/>
    <w:rsid w:val="00B409B3"/>
    <w:rsid w:val="00B4219F"/>
    <w:rsid w:val="00B42761"/>
    <w:rsid w:val="00B44C1B"/>
    <w:rsid w:val="00B51778"/>
    <w:rsid w:val="00B51B85"/>
    <w:rsid w:val="00B62110"/>
    <w:rsid w:val="00B65E69"/>
    <w:rsid w:val="00B85F2B"/>
    <w:rsid w:val="00B8777C"/>
    <w:rsid w:val="00BA093A"/>
    <w:rsid w:val="00BB4905"/>
    <w:rsid w:val="00BD40C1"/>
    <w:rsid w:val="00BE0EDB"/>
    <w:rsid w:val="00BF2D71"/>
    <w:rsid w:val="00BF4C61"/>
    <w:rsid w:val="00C32AC0"/>
    <w:rsid w:val="00C37518"/>
    <w:rsid w:val="00C560B1"/>
    <w:rsid w:val="00C802A2"/>
    <w:rsid w:val="00C90CE3"/>
    <w:rsid w:val="00CC223B"/>
    <w:rsid w:val="00CD0CE2"/>
    <w:rsid w:val="00CE40C0"/>
    <w:rsid w:val="00D131C8"/>
    <w:rsid w:val="00D206FC"/>
    <w:rsid w:val="00D43407"/>
    <w:rsid w:val="00D734CF"/>
    <w:rsid w:val="00DA273E"/>
    <w:rsid w:val="00DC227E"/>
    <w:rsid w:val="00E0588A"/>
    <w:rsid w:val="00E242FB"/>
    <w:rsid w:val="00E30F8E"/>
    <w:rsid w:val="00E34562"/>
    <w:rsid w:val="00E629B6"/>
    <w:rsid w:val="00E7445A"/>
    <w:rsid w:val="00E86F13"/>
    <w:rsid w:val="00EB271F"/>
    <w:rsid w:val="00EC08FC"/>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paragraph" w:customStyle="1" w:styleId="Default">
    <w:name w:val="Default"/>
    <w:rsid w:val="00A53B2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E0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733117743">
      <w:bodyDiv w:val="1"/>
      <w:marLeft w:val="0"/>
      <w:marRight w:val="0"/>
      <w:marTop w:val="0"/>
      <w:marBottom w:val="0"/>
      <w:divBdr>
        <w:top w:val="none" w:sz="0" w:space="0" w:color="auto"/>
        <w:left w:val="none" w:sz="0" w:space="0" w:color="auto"/>
        <w:bottom w:val="none" w:sz="0" w:space="0" w:color="auto"/>
        <w:right w:val="none" w:sz="0" w:space="0" w:color="auto"/>
      </w:divBdr>
    </w:div>
    <w:div w:id="17472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mraconsulting.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C2B1A9-0523-4913-99C4-A80718DF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2019-02-06T11:04:00Z</dcterms:created>
  <dcterms:modified xsi:type="dcterms:W3CDTF">2019-02-06T11:04:00Z</dcterms:modified>
</cp:coreProperties>
</file>