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646F504C" w:rsidR="00F7291E" w:rsidRPr="00F14E01" w:rsidRDefault="002D3389" w:rsidP="00F7291E">
          <w:pPr>
            <w:jc w:val="center"/>
            <w:rPr>
              <w:rFonts w:asciiTheme="minorHAnsi" w:hAnsiTheme="minorHAnsi" w:cstheme="minorHAnsi"/>
              <w:i/>
              <w:iCs/>
              <w:sz w:val="28"/>
              <w:szCs w:val="28"/>
            </w:rPr>
          </w:pPr>
          <w:r>
            <w:rPr>
              <w:rStyle w:val="Style2"/>
            </w:rPr>
            <w:t xml:space="preserve">Circular </w:t>
          </w:r>
          <w:r w:rsidR="00CE461D">
            <w:rPr>
              <w:rStyle w:val="Style2"/>
            </w:rPr>
            <w:t>Interventions</w:t>
          </w:r>
          <w:r>
            <w:rPr>
              <w:rStyle w:val="Style2"/>
            </w:rPr>
            <w:t xml:space="preserve"> for Medical Plastics </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000000"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31ED44D7" w:rsidR="00BB268F" w:rsidRDefault="00000000" w:rsidP="00BB268F">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79F454FF" w:rsidR="00BB268F" w:rsidRDefault="00000000" w:rsidP="00BB268F">
            <w:sdt>
              <w:sdtPr>
                <w:rPr>
                  <w:rFonts w:asciiTheme="minorHAnsi" w:hAnsiTheme="minorHAnsi" w:cstheme="minorHAnsi"/>
                  <w:szCs w:val="18"/>
                </w:rPr>
                <w:id w:val="2092892907"/>
                <w14:checkbox>
                  <w14:checked w14:val="1"/>
                  <w14:checkedState w14:val="F0FC" w14:font="Wingdings"/>
                  <w14:uncheckedState w14:val="2610" w14:font="MS Gothic"/>
                </w14:checkbox>
              </w:sdtPr>
              <w:sdtContent>
                <w:r w:rsidR="00176676">
                  <w:rPr>
                    <w:rFonts w:asciiTheme="minorHAnsi" w:hAnsiTheme="minorHAnsi" w:cstheme="minorHAnsi"/>
                    <w:szCs w:val="18"/>
                  </w:rPr>
                  <w:sym w:font="Wingdings" w:char="F0FC"/>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1A63FA0B" w:rsidR="00BB268F" w:rsidRDefault="00000000" w:rsidP="00BB268F">
            <w:sdt>
              <w:sdtPr>
                <w:rPr>
                  <w:rFonts w:asciiTheme="minorHAnsi" w:hAnsiTheme="minorHAnsi" w:cstheme="minorHAnsi"/>
                  <w:szCs w:val="18"/>
                </w:rPr>
                <w:id w:val="-320042573"/>
                <w14:checkbox>
                  <w14:checked w14:val="1"/>
                  <w14:checkedState w14:val="F0FC" w14:font="Wingdings"/>
                  <w14:uncheckedState w14:val="2610" w14:font="MS Gothic"/>
                </w14:checkbox>
              </w:sdtPr>
              <w:sdtContent>
                <w:r w:rsidR="00176676">
                  <w:rPr>
                    <w:rFonts w:asciiTheme="minorHAnsi" w:hAnsiTheme="minorHAnsi" w:cstheme="minorHAnsi"/>
                    <w:szCs w:val="18"/>
                  </w:rPr>
                  <w:sym w:font="Wingdings" w:char="F0FC"/>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(plastics recycling, plastics recovery schemes, small and large scale plastics projects)</w:t>
            </w:r>
          </w:p>
        </w:tc>
      </w:tr>
      <w:tr w:rsidR="00BB268F" w14:paraId="74470123" w14:textId="77777777" w:rsidTr="00C938DB">
        <w:tc>
          <w:tcPr>
            <w:tcW w:w="456" w:type="dxa"/>
          </w:tcPr>
          <w:p w14:paraId="639C6AFC" w14:textId="0D275116" w:rsidR="00BB268F" w:rsidRDefault="00000000"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1EC1F0F3" w:rsidR="00BB268F" w:rsidRDefault="00000000" w:rsidP="00BB268F">
            <w:sdt>
              <w:sdtPr>
                <w:rPr>
                  <w:rFonts w:asciiTheme="minorHAnsi" w:hAnsiTheme="minorHAnsi" w:cstheme="minorHAnsi"/>
                  <w:szCs w:val="18"/>
                </w:rPr>
                <w:id w:val="846827327"/>
                <w14:checkbox>
                  <w14:checked w14:val="1"/>
                  <w14:checkedState w14:val="F0FC" w14:font="Wingdings"/>
                  <w14:uncheckedState w14:val="2610" w14:font="MS Gothic"/>
                </w14:checkbox>
              </w:sdtPr>
              <w:sdtContent>
                <w:r w:rsidR="00176676">
                  <w:rPr>
                    <w:rFonts w:asciiTheme="minorHAnsi" w:hAnsiTheme="minorHAnsi" w:cstheme="minorHAnsi"/>
                    <w:szCs w:val="18"/>
                  </w:rPr>
                  <w:sym w:font="Wingdings" w:char="F0FC"/>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000000"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000000"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000000"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000000"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000000"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000000"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F0C6F7E" w:rsidR="00BB268F" w:rsidRDefault="00000000" w:rsidP="00BB268F">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000000"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000000"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000000"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000000"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000000"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40845C2C" w:rsidR="00BB268F" w:rsidRDefault="00000000" w:rsidP="00BB268F">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000000"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223F71B8" w:rsidR="00BB268F" w:rsidRDefault="00000000" w:rsidP="00BB268F">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000000"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000000"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267CA125" w:rsidR="00BB268F" w:rsidRDefault="00000000" w:rsidP="00BB268F">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000000"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000000"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777549" w:rsidR="00BB268F" w:rsidRDefault="00000000" w:rsidP="00BB268F">
            <w:sdt>
              <w:sdtPr>
                <w:rPr>
                  <w:rFonts w:asciiTheme="minorHAnsi" w:hAnsiTheme="minorHAnsi" w:cstheme="minorHAnsi"/>
                  <w:szCs w:val="18"/>
                </w:rPr>
                <w:id w:val="30859368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6E5E2951" w:rsidR="00BB268F" w:rsidRDefault="00000000" w:rsidP="00BB268F">
            <w:sdt>
              <w:sdtPr>
                <w:rPr>
                  <w:rFonts w:asciiTheme="minorHAnsi" w:hAnsiTheme="minorHAnsi" w:cstheme="minorHAnsi"/>
                  <w:szCs w:val="18"/>
                </w:rPr>
                <w:id w:val="-87215514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000000"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000000"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00ADF261"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176676">
            <w:rPr>
              <w:rStyle w:val="Style1"/>
            </w:rPr>
            <w:t>Rebecca Larkin</w:t>
          </w:r>
        </w:sdtContent>
      </w:sdt>
    </w:p>
    <w:p w14:paraId="6A03D446" w14:textId="3E43C499"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176676">
            <w:rPr>
              <w:rStyle w:val="Style1"/>
            </w:rPr>
            <w:t>Senior Environmental Consultant</w:t>
          </w:r>
        </w:sdtContent>
      </w:sdt>
    </w:p>
    <w:p w14:paraId="1FA0458A" w14:textId="0E70C4B8"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176676">
            <w:rPr>
              <w:rStyle w:val="Style1"/>
            </w:rPr>
            <w:t>MRA Consulting Group</w:t>
          </w:r>
        </w:sdtContent>
      </w:sdt>
    </w:p>
    <w:p w14:paraId="62987681" w14:textId="0A7AB58F"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176676">
            <w:rPr>
              <w:rStyle w:val="Style1"/>
            </w:rPr>
            <w:t>bec.larkin@mraconsulting.com.au</w:t>
          </w:r>
        </w:sdtContent>
      </w:sdt>
    </w:p>
    <w:p w14:paraId="0E07159F" w14:textId="761158DE" w:rsidR="008C0698" w:rsidRPr="00176676" w:rsidRDefault="008C0698" w:rsidP="008C0698">
      <w:pPr>
        <w:rPr>
          <w:rFonts w:asciiTheme="minorHAnsi" w:hAnsiTheme="minorHAnsi" w:cstheme="minorHAnsi"/>
          <w:sz w:val="22"/>
          <w:szCs w:val="22"/>
        </w:rPr>
      </w:pPr>
      <w:r w:rsidRPr="00176676">
        <w:rPr>
          <w:rFonts w:asciiTheme="minorHAnsi" w:hAnsiTheme="minorHAnsi" w:cstheme="minorHAnsi"/>
          <w:b/>
          <w:sz w:val="22"/>
          <w:szCs w:val="22"/>
        </w:rPr>
        <w:t xml:space="preserve">Presenter phone number: </w:t>
      </w:r>
      <w:sdt>
        <w:sdtPr>
          <w:rPr>
            <w:rFonts w:asciiTheme="minorHAnsi" w:hAnsiTheme="minorHAnsi" w:cstheme="minorHAnsi"/>
            <w:sz w:val="22"/>
            <w:szCs w:val="22"/>
            <w:shd w:val="clear" w:color="auto" w:fill="FFFFFF"/>
          </w:rPr>
          <w:id w:val="-1802291080"/>
          <w:placeholder>
            <w:docPart w:val="377AEE49599E412B8E0D5A1E50E45172"/>
          </w:placeholder>
          <w:text/>
        </w:sdtPr>
        <w:sdtContent>
          <w:r w:rsidR="00176676" w:rsidRPr="00176676">
            <w:rPr>
              <w:rFonts w:asciiTheme="minorHAnsi" w:hAnsiTheme="minorHAnsi" w:cstheme="minorHAnsi"/>
              <w:sz w:val="22"/>
              <w:szCs w:val="22"/>
              <w:shd w:val="clear" w:color="auto" w:fill="FFFFFF"/>
            </w:rPr>
            <w:t>02 8541 6169</w:t>
          </w:r>
        </w:sdtContent>
      </w:sdt>
    </w:p>
    <w:p w14:paraId="40D537AC" w14:textId="62F77F88"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176676">
            <w:rPr>
              <w:rStyle w:val="Style1"/>
            </w:rPr>
            <w:t>+614 66 829 089</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F42A705" w14:textId="143B1610" w:rsidR="0071325B" w:rsidRPr="0071325B" w:rsidRDefault="0071325B" w:rsidP="005B6BAC">
      <w:pPr>
        <w:rPr>
          <w:rStyle w:val="Style1"/>
          <w:rFonts w:cstheme="minorHAnsi"/>
          <w:szCs w:val="22"/>
        </w:rPr>
      </w:pPr>
      <w:r w:rsidRPr="0071325B">
        <w:rPr>
          <w:rStyle w:val="Style1"/>
          <w:rFonts w:cstheme="minorHAnsi"/>
          <w:szCs w:val="22"/>
        </w:rPr>
        <w:t xml:space="preserve">Rebecca is a senior consultant in the Circular Economy team at MRA and has previously worked across the auditing and strategy &amp; commercial teams. She </w:t>
      </w:r>
      <w:r w:rsidRPr="0071325B">
        <w:rPr>
          <w:rFonts w:asciiTheme="minorHAnsi" w:hAnsiTheme="minorHAnsi" w:cstheme="minorHAnsi"/>
          <w:sz w:val="22"/>
          <w:szCs w:val="22"/>
        </w:rPr>
        <w:t xml:space="preserve">has a passion for supporting organisations and governments incorporate circular economy and sustainability principles. She brings her research and analysis skills, utilising data to drive changes higher up the supply chain away from the end-of-life management of waste. Recently, Rebecca has led material flow and waste baselining projects to help organisations understand where inefficiencies and opportunities for impact lie and to develop circular economy roadmaps and zero waste strategies. </w:t>
      </w:r>
    </w:p>
    <w:p w14:paraId="2C706CB4" w14:textId="77777777" w:rsidR="007F249A" w:rsidRPr="0071325B" w:rsidRDefault="007F249A" w:rsidP="005B6BAC">
      <w:pPr>
        <w:rPr>
          <w:rStyle w:val="Style1"/>
          <w:rFonts w:cstheme="minorHAnsi"/>
          <w:szCs w:val="22"/>
        </w:rPr>
      </w:pPr>
    </w:p>
    <w:p w14:paraId="41DC1872" w14:textId="7D85D1CF" w:rsidR="007F249A" w:rsidRPr="0071325B" w:rsidRDefault="007F249A" w:rsidP="005B6BAC">
      <w:pPr>
        <w:rPr>
          <w:rStyle w:val="Style1"/>
          <w:rFonts w:cstheme="minorHAnsi"/>
          <w:szCs w:val="22"/>
        </w:rPr>
      </w:pPr>
      <w:r w:rsidRPr="0071325B">
        <w:rPr>
          <w:rStyle w:val="Style1"/>
          <w:rFonts w:cstheme="minorHAnsi"/>
          <w:szCs w:val="22"/>
        </w:rPr>
        <w:t xml:space="preserve">Prior to becoming a waste and circular economy consultant, Rebecca worked as a medical researcher and was astounded by the amount of single use plastic in the lab. She saw the opportunity to </w:t>
      </w:r>
      <w:r w:rsidR="0071325B" w:rsidRPr="0071325B">
        <w:rPr>
          <w:rStyle w:val="Style1"/>
          <w:rFonts w:cstheme="minorHAnsi"/>
          <w:szCs w:val="22"/>
        </w:rPr>
        <w:t>make a significant</w:t>
      </w:r>
      <w:r w:rsidRPr="0071325B">
        <w:rPr>
          <w:rStyle w:val="Style1"/>
          <w:rFonts w:cstheme="minorHAnsi"/>
          <w:szCs w:val="22"/>
        </w:rPr>
        <w:t xml:space="preserve"> impact in the research and healthcare sector and understands the challenges faced in a clinical environment. </w:t>
      </w:r>
    </w:p>
    <w:p w14:paraId="49196F54" w14:textId="77777777" w:rsidR="00F67C6D" w:rsidRPr="00F14E01" w:rsidRDefault="00F67C6D" w:rsidP="005B6BAC">
      <w:pPr>
        <w:rPr>
          <w:rFonts w:asciiTheme="minorHAnsi" w:hAnsiTheme="minorHAnsi" w:cstheme="minorHAnsi"/>
          <w:i/>
          <w:iCs/>
          <w:sz w:val="22"/>
        </w:rPr>
      </w:pPr>
    </w:p>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4F60FE72" w14:textId="2ACB6991" w:rsidR="00E519EA" w:rsidRPr="007F249A" w:rsidRDefault="00F67C6D" w:rsidP="000F3DAE">
      <w:pPr>
        <w:rPr>
          <w:rStyle w:val="Style1"/>
          <w:rFonts w:cstheme="minorHAnsi"/>
          <w:sz w:val="20"/>
          <w:szCs w:val="22"/>
        </w:rPr>
      </w:pPr>
      <w:r w:rsidRPr="007F249A">
        <w:rPr>
          <w:rFonts w:asciiTheme="minorHAnsi" w:hAnsiTheme="minorHAnsi" w:cstheme="minorHAnsi"/>
          <w:sz w:val="22"/>
          <w:szCs w:val="22"/>
        </w:rPr>
        <w:t xml:space="preserve">In 2022, the </w:t>
      </w:r>
      <w:r w:rsidR="003549B3" w:rsidRPr="007F249A">
        <w:rPr>
          <w:rFonts w:asciiTheme="minorHAnsi" w:hAnsiTheme="minorHAnsi" w:cstheme="minorHAnsi"/>
          <w:sz w:val="22"/>
          <w:szCs w:val="22"/>
        </w:rPr>
        <w:t xml:space="preserve">New South Wales </w:t>
      </w:r>
      <w:r w:rsidRPr="007F249A">
        <w:rPr>
          <w:rFonts w:asciiTheme="minorHAnsi" w:hAnsiTheme="minorHAnsi" w:cstheme="minorHAnsi"/>
          <w:sz w:val="22"/>
          <w:szCs w:val="22"/>
        </w:rPr>
        <w:t>healthcare sector generated over 24,000 tonnes of waste, costing $16 million, with plastic accounting for 25-48%. Challenges in adopting circular solutions include a preference for single-use plastics</w:t>
      </w:r>
      <w:r w:rsidR="003549B3" w:rsidRPr="007F249A">
        <w:rPr>
          <w:rFonts w:asciiTheme="minorHAnsi" w:hAnsiTheme="minorHAnsi" w:cstheme="minorHAnsi"/>
          <w:sz w:val="22"/>
          <w:szCs w:val="22"/>
        </w:rPr>
        <w:t xml:space="preserve"> </w:t>
      </w:r>
      <w:r w:rsidRPr="007F249A">
        <w:rPr>
          <w:rFonts w:asciiTheme="minorHAnsi" w:hAnsiTheme="minorHAnsi" w:cstheme="minorHAnsi"/>
          <w:sz w:val="22"/>
          <w:szCs w:val="22"/>
        </w:rPr>
        <w:t xml:space="preserve">and complex stakeholder </w:t>
      </w:r>
      <w:r w:rsidR="003549B3" w:rsidRPr="007F249A">
        <w:rPr>
          <w:rFonts w:asciiTheme="minorHAnsi" w:hAnsiTheme="minorHAnsi" w:cstheme="minorHAnsi"/>
          <w:sz w:val="22"/>
          <w:szCs w:val="22"/>
        </w:rPr>
        <w:t>network</w:t>
      </w:r>
      <w:r w:rsidR="00551CF3">
        <w:rPr>
          <w:rFonts w:asciiTheme="minorHAnsi" w:hAnsiTheme="minorHAnsi" w:cstheme="minorHAnsi"/>
          <w:sz w:val="22"/>
          <w:szCs w:val="22"/>
        </w:rPr>
        <w:t>s</w:t>
      </w:r>
      <w:r w:rsidRPr="007F249A">
        <w:rPr>
          <w:rFonts w:asciiTheme="minorHAnsi" w:hAnsiTheme="minorHAnsi" w:cstheme="minorHAnsi"/>
          <w:sz w:val="22"/>
          <w:szCs w:val="22"/>
        </w:rPr>
        <w:t xml:space="preserve">. The NSW EPA enlisted MRA to trial </w:t>
      </w:r>
      <w:r w:rsidR="00551CF3">
        <w:rPr>
          <w:rFonts w:asciiTheme="minorHAnsi" w:hAnsiTheme="minorHAnsi" w:cstheme="minorHAnsi"/>
          <w:sz w:val="22"/>
          <w:szCs w:val="22"/>
        </w:rPr>
        <w:t xml:space="preserve">three </w:t>
      </w:r>
      <w:r w:rsidR="003549B3" w:rsidRPr="007F249A">
        <w:rPr>
          <w:rFonts w:asciiTheme="minorHAnsi" w:hAnsiTheme="minorHAnsi" w:cstheme="minorHAnsi"/>
          <w:sz w:val="22"/>
          <w:szCs w:val="22"/>
        </w:rPr>
        <w:t xml:space="preserve">circular </w:t>
      </w:r>
      <w:r w:rsidRPr="007F249A">
        <w:rPr>
          <w:rFonts w:asciiTheme="minorHAnsi" w:hAnsiTheme="minorHAnsi" w:cstheme="minorHAnsi"/>
          <w:sz w:val="22"/>
          <w:szCs w:val="22"/>
        </w:rPr>
        <w:t>interventions for medical plastic</w:t>
      </w:r>
      <w:r w:rsidR="00D55663">
        <w:rPr>
          <w:rFonts w:asciiTheme="minorHAnsi" w:hAnsiTheme="minorHAnsi" w:cstheme="minorHAnsi"/>
          <w:sz w:val="22"/>
          <w:szCs w:val="22"/>
        </w:rPr>
        <w:t xml:space="preserve"> in hospitals and healthcare facilities</w:t>
      </w:r>
      <w:r w:rsidRPr="007F249A">
        <w:rPr>
          <w:rFonts w:asciiTheme="minorHAnsi" w:hAnsiTheme="minorHAnsi" w:cstheme="minorHAnsi"/>
          <w:sz w:val="22"/>
          <w:szCs w:val="22"/>
        </w:rPr>
        <w:t>: a logistics model for reusing ice bricks</w:t>
      </w:r>
      <w:r w:rsidR="00D55663">
        <w:rPr>
          <w:rFonts w:asciiTheme="minorHAnsi" w:hAnsiTheme="minorHAnsi" w:cstheme="minorHAnsi"/>
          <w:sz w:val="22"/>
          <w:szCs w:val="22"/>
        </w:rPr>
        <w:t xml:space="preserve"> (cold transport)</w:t>
      </w:r>
      <w:r w:rsidRPr="007F249A">
        <w:rPr>
          <w:rFonts w:asciiTheme="minorHAnsi" w:hAnsiTheme="minorHAnsi" w:cstheme="minorHAnsi"/>
          <w:sz w:val="22"/>
          <w:szCs w:val="22"/>
        </w:rPr>
        <w:t>, reusable</w:t>
      </w:r>
      <w:r w:rsidR="00551CF3">
        <w:rPr>
          <w:rFonts w:asciiTheme="minorHAnsi" w:hAnsiTheme="minorHAnsi" w:cstheme="minorHAnsi"/>
          <w:sz w:val="22"/>
          <w:szCs w:val="22"/>
        </w:rPr>
        <w:t xml:space="preserve"> plastic</w:t>
      </w:r>
      <w:r w:rsidRPr="007F249A">
        <w:rPr>
          <w:rFonts w:asciiTheme="minorHAnsi" w:hAnsiTheme="minorHAnsi" w:cstheme="minorHAnsi"/>
          <w:sz w:val="22"/>
          <w:szCs w:val="22"/>
        </w:rPr>
        <w:t xml:space="preserve"> in surgeries, and redesigning theatre waste </w:t>
      </w:r>
      <w:r w:rsidR="00F51034">
        <w:rPr>
          <w:rFonts w:asciiTheme="minorHAnsi" w:hAnsiTheme="minorHAnsi" w:cstheme="minorHAnsi"/>
          <w:sz w:val="22"/>
          <w:szCs w:val="22"/>
        </w:rPr>
        <w:t>recovery</w:t>
      </w:r>
      <w:r w:rsidRPr="007F249A">
        <w:rPr>
          <w:rFonts w:asciiTheme="minorHAnsi" w:hAnsiTheme="minorHAnsi" w:cstheme="minorHAnsi"/>
          <w:sz w:val="22"/>
          <w:szCs w:val="22"/>
        </w:rPr>
        <w:t>. The project also identified systemic solutions, including policy frameworks and funding incentives, for sustainable healthcare waste management.</w:t>
      </w:r>
    </w:p>
    <w:p w14:paraId="021442DB" w14:textId="77777777" w:rsidR="002D3389" w:rsidRPr="00F67C6D" w:rsidRDefault="002D3389" w:rsidP="000F3DAE">
      <w:pPr>
        <w:rPr>
          <w:rStyle w:val="Style1"/>
          <w:rFonts w:cstheme="minorHAnsi"/>
          <w:sz w:val="20"/>
          <w:szCs w:val="22"/>
        </w:rPr>
      </w:pPr>
    </w:p>
    <w:p w14:paraId="23E573C1" w14:textId="77777777" w:rsidR="00E519EA" w:rsidRPr="00F67C6D" w:rsidRDefault="00E519EA" w:rsidP="000F3DAE">
      <w:pPr>
        <w:rPr>
          <w:rStyle w:val="Style1"/>
          <w:rFonts w:cstheme="minorHAnsi"/>
          <w:sz w:val="20"/>
          <w:szCs w:val="22"/>
        </w:rPr>
      </w:pPr>
    </w:p>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75D4B594" w14:textId="3223760B" w:rsidR="00E519EA" w:rsidRPr="00CE461D" w:rsidRDefault="00E519EA" w:rsidP="00E519EA">
      <w:pPr>
        <w:rPr>
          <w:rFonts w:asciiTheme="minorHAnsi" w:hAnsiTheme="minorHAnsi" w:cstheme="minorHAnsi"/>
          <w:sz w:val="22"/>
        </w:rPr>
      </w:pPr>
      <w:r>
        <w:rPr>
          <w:rStyle w:val="Style1"/>
        </w:rPr>
        <w:t xml:space="preserve">Healthcare is the largest generator of waste in the NSW public sector with over 24,000 tonnes generated in 2022 and disposal estimated to cost $16 million per year. It is estimated that plastic comprises between 25% and 48% of waste in the healthcare sector. The challenges faced by the sector for circular solutions for plastic waste include: preference for single-use plastic, limited space for managing waste, the complex </w:t>
      </w:r>
      <w:r w:rsidR="003549B3">
        <w:rPr>
          <w:rStyle w:val="Style1"/>
        </w:rPr>
        <w:t>network</w:t>
      </w:r>
      <w:r>
        <w:rPr>
          <w:rStyle w:val="Style1"/>
        </w:rPr>
        <w:t xml:space="preserve"> of stakeholders and processes at healthcare facilities, lack of waste composition data and product information, and a lack of a consistent approach to waste management across different facilities.  </w:t>
      </w:r>
    </w:p>
    <w:p w14:paraId="7C46EF57" w14:textId="77777777" w:rsidR="00E519EA" w:rsidRDefault="00E519EA" w:rsidP="00E519EA">
      <w:pPr>
        <w:rPr>
          <w:rStyle w:val="Style1"/>
        </w:rPr>
      </w:pPr>
    </w:p>
    <w:p w14:paraId="4858D11E" w14:textId="2A5CB4AC" w:rsidR="00E519EA" w:rsidRDefault="006F2C6D" w:rsidP="00E519EA">
      <w:pPr>
        <w:rPr>
          <w:rStyle w:val="Style1"/>
        </w:rPr>
      </w:pPr>
      <w:r>
        <w:rPr>
          <w:rStyle w:val="Style1"/>
        </w:rPr>
        <w:t xml:space="preserve">To deliver on one of the commitments made under the NSW Plastics Action Plan, the NSW EPA engaged </w:t>
      </w:r>
      <w:r w:rsidR="00E519EA" w:rsidRPr="00CE461D">
        <w:rPr>
          <w:rStyle w:val="Style1"/>
        </w:rPr>
        <w:t xml:space="preserve">MRA to research, design and implement trial interventions to divert medical plastic waste from landfill. The </w:t>
      </w:r>
      <w:r w:rsidR="00E519EA">
        <w:rPr>
          <w:rStyle w:val="Style1"/>
        </w:rPr>
        <w:t>objectives of the project were to:</w:t>
      </w:r>
    </w:p>
    <w:p w14:paraId="125B5720" w14:textId="77777777" w:rsidR="00E519EA" w:rsidRDefault="00E519EA" w:rsidP="00E519EA">
      <w:pPr>
        <w:pStyle w:val="ListParagraph"/>
        <w:numPr>
          <w:ilvl w:val="0"/>
          <w:numId w:val="5"/>
        </w:numPr>
        <w:rPr>
          <w:rStyle w:val="Style1"/>
        </w:rPr>
      </w:pPr>
      <w:r>
        <w:rPr>
          <w:rStyle w:val="Style1"/>
        </w:rPr>
        <w:t>Assist medical plastic waste generators transition to circular economy outcomes for plastic waste;</w:t>
      </w:r>
    </w:p>
    <w:p w14:paraId="552A1754" w14:textId="77777777" w:rsidR="00E519EA" w:rsidRDefault="00E519EA" w:rsidP="00E519EA">
      <w:pPr>
        <w:pStyle w:val="ListParagraph"/>
        <w:numPr>
          <w:ilvl w:val="0"/>
          <w:numId w:val="5"/>
        </w:numPr>
        <w:rPr>
          <w:rStyle w:val="Style1"/>
        </w:rPr>
      </w:pPr>
      <w:r>
        <w:rPr>
          <w:rStyle w:val="Style1"/>
        </w:rPr>
        <w:t>Research, identify and trial innovative methods and new ideas to reduce and recover plastic wastes in medical settings;</w:t>
      </w:r>
    </w:p>
    <w:p w14:paraId="4ACDCDE7" w14:textId="77777777" w:rsidR="00E519EA" w:rsidRDefault="00E519EA" w:rsidP="00E519EA">
      <w:pPr>
        <w:pStyle w:val="ListParagraph"/>
        <w:numPr>
          <w:ilvl w:val="0"/>
          <w:numId w:val="5"/>
        </w:numPr>
        <w:rPr>
          <w:rStyle w:val="Style1"/>
        </w:rPr>
      </w:pPr>
      <w:r>
        <w:rPr>
          <w:rStyle w:val="Style1"/>
        </w:rPr>
        <w:t>Develop case studies and factsheets to broaden the adoption of the trialled innovations;</w:t>
      </w:r>
    </w:p>
    <w:p w14:paraId="5460EF55" w14:textId="77777777" w:rsidR="00E519EA" w:rsidRPr="00CE461D" w:rsidRDefault="00E519EA" w:rsidP="00E519EA">
      <w:pPr>
        <w:pStyle w:val="ListParagraph"/>
        <w:numPr>
          <w:ilvl w:val="0"/>
          <w:numId w:val="5"/>
        </w:numPr>
        <w:rPr>
          <w:rStyle w:val="Style1"/>
        </w:rPr>
      </w:pPr>
      <w:r>
        <w:rPr>
          <w:rStyle w:val="Style1"/>
        </w:rPr>
        <w:t xml:space="preserve">Identify mechanisms on a system wide scale that support long-term outcomes for plastic waste avoidance and recovery.   </w:t>
      </w:r>
      <w:r w:rsidRPr="00CE461D">
        <w:rPr>
          <w:rStyle w:val="Style1"/>
        </w:rPr>
        <w:t xml:space="preserve"> </w:t>
      </w:r>
    </w:p>
    <w:p w14:paraId="25CA769C" w14:textId="77777777" w:rsidR="00E519EA" w:rsidRPr="002D3389" w:rsidRDefault="00E519EA" w:rsidP="00E519EA">
      <w:pPr>
        <w:rPr>
          <w:rStyle w:val="Style1"/>
          <w:b/>
          <w:bCs/>
        </w:rPr>
      </w:pPr>
    </w:p>
    <w:p w14:paraId="6334F345" w14:textId="77777777" w:rsidR="00E519EA" w:rsidRDefault="00E519EA" w:rsidP="00E519EA">
      <w:pPr>
        <w:rPr>
          <w:rFonts w:asciiTheme="minorHAnsi" w:hAnsiTheme="minorHAnsi" w:cstheme="minorHAnsi"/>
          <w:sz w:val="22"/>
        </w:rPr>
      </w:pPr>
      <w:r>
        <w:rPr>
          <w:rFonts w:asciiTheme="minorHAnsi" w:hAnsiTheme="minorHAnsi" w:cstheme="minorHAnsi"/>
          <w:sz w:val="22"/>
        </w:rPr>
        <w:t xml:space="preserve">Based on consultation with stakeholders in the healthcare sector, 10 interventions targeting medical plastics were identified and 3 were selected for trials in healthcare facilities. The 3 trials and their results are summarised below. </w:t>
      </w:r>
    </w:p>
    <w:p w14:paraId="01658B8A" w14:textId="77777777" w:rsidR="00E519EA" w:rsidRDefault="00E519EA" w:rsidP="00E519EA">
      <w:pPr>
        <w:pStyle w:val="ListParagraph"/>
        <w:numPr>
          <w:ilvl w:val="0"/>
          <w:numId w:val="6"/>
        </w:numPr>
        <w:rPr>
          <w:rFonts w:asciiTheme="minorHAnsi" w:hAnsiTheme="minorHAnsi" w:cstheme="minorHAnsi"/>
        </w:rPr>
      </w:pPr>
      <w:r>
        <w:rPr>
          <w:rFonts w:asciiTheme="minorHAnsi" w:hAnsiTheme="minorHAnsi" w:cstheme="minorHAnsi"/>
        </w:rPr>
        <w:t>Ice brick reuse trial</w:t>
      </w:r>
    </w:p>
    <w:p w14:paraId="2FA6EF12" w14:textId="22B24B43" w:rsidR="00E519EA" w:rsidRPr="00632A52" w:rsidRDefault="00E519EA" w:rsidP="00E519EA">
      <w:pPr>
        <w:rPr>
          <w:rFonts w:asciiTheme="minorHAnsi" w:hAnsiTheme="minorHAnsi" w:cstheme="minorHAnsi"/>
        </w:rPr>
      </w:pPr>
      <w:r w:rsidRPr="001045BA">
        <w:rPr>
          <w:rFonts w:asciiTheme="minorHAnsi" w:hAnsiTheme="minorHAnsi" w:cstheme="minorHAnsi"/>
          <w:sz w:val="22"/>
          <w:szCs w:val="22"/>
        </w:rPr>
        <w:t>A reverse logistics transport model to return plastic ice bricks</w:t>
      </w:r>
      <w:r w:rsidR="00551CF3">
        <w:rPr>
          <w:rFonts w:asciiTheme="minorHAnsi" w:hAnsiTheme="minorHAnsi" w:cstheme="minorHAnsi"/>
          <w:sz w:val="22"/>
          <w:szCs w:val="22"/>
        </w:rPr>
        <w:t xml:space="preserve"> used for </w:t>
      </w:r>
      <w:r w:rsidR="00830720">
        <w:rPr>
          <w:rFonts w:asciiTheme="minorHAnsi" w:hAnsiTheme="minorHAnsi" w:cstheme="minorHAnsi"/>
          <w:sz w:val="22"/>
          <w:szCs w:val="22"/>
        </w:rPr>
        <w:t xml:space="preserve">cold transport of </w:t>
      </w:r>
      <w:r w:rsidR="00551CF3">
        <w:rPr>
          <w:rFonts w:asciiTheme="minorHAnsi" w:hAnsiTheme="minorHAnsi" w:cstheme="minorHAnsi"/>
          <w:sz w:val="22"/>
          <w:szCs w:val="22"/>
        </w:rPr>
        <w:t>pharmaceutical deliveries</w:t>
      </w:r>
      <w:r w:rsidRPr="001045BA">
        <w:rPr>
          <w:rFonts w:asciiTheme="minorHAnsi" w:hAnsiTheme="minorHAnsi" w:cstheme="minorHAnsi"/>
          <w:sz w:val="22"/>
          <w:szCs w:val="22"/>
        </w:rPr>
        <w:t xml:space="preserve"> from regional </w:t>
      </w:r>
      <w:r w:rsidR="00551CF3">
        <w:rPr>
          <w:rFonts w:asciiTheme="minorHAnsi" w:hAnsiTheme="minorHAnsi" w:cstheme="minorHAnsi"/>
          <w:sz w:val="22"/>
          <w:szCs w:val="22"/>
        </w:rPr>
        <w:t>labs</w:t>
      </w:r>
      <w:r w:rsidRPr="001045BA">
        <w:rPr>
          <w:rFonts w:asciiTheme="minorHAnsi" w:hAnsiTheme="minorHAnsi" w:cstheme="minorHAnsi"/>
          <w:sz w:val="22"/>
          <w:szCs w:val="22"/>
        </w:rPr>
        <w:t xml:space="preserve"> back to the supplier for reuse. A total of 1096 ice bricks (1200kg) were collected during the 8-week trial across 8 Health Pathology labs utilising the existing courier network (no additional cars required). If expanded to all 60 labs, this intervention could divert approximately </w:t>
      </w:r>
      <w:r w:rsidR="000026C5">
        <w:rPr>
          <w:rFonts w:asciiTheme="minorHAnsi" w:hAnsiTheme="minorHAnsi" w:cstheme="minorHAnsi"/>
          <w:sz w:val="22"/>
          <w:szCs w:val="22"/>
        </w:rPr>
        <w:t>60,000</w:t>
      </w:r>
      <w:r w:rsidR="00830720">
        <w:rPr>
          <w:rFonts w:asciiTheme="minorHAnsi" w:hAnsiTheme="minorHAnsi" w:cstheme="minorHAnsi"/>
          <w:sz w:val="22"/>
          <w:szCs w:val="22"/>
        </w:rPr>
        <w:t xml:space="preserve"> ice bricks </w:t>
      </w:r>
      <w:r w:rsidRPr="001045BA">
        <w:rPr>
          <w:rFonts w:asciiTheme="minorHAnsi" w:hAnsiTheme="minorHAnsi" w:cstheme="minorHAnsi"/>
          <w:sz w:val="22"/>
          <w:szCs w:val="22"/>
        </w:rPr>
        <w:t>from landfill each year</w:t>
      </w:r>
      <w:r w:rsidR="00830720">
        <w:rPr>
          <w:rFonts w:asciiTheme="minorHAnsi" w:hAnsiTheme="minorHAnsi" w:cstheme="minorHAnsi"/>
          <w:sz w:val="22"/>
          <w:szCs w:val="22"/>
        </w:rPr>
        <w:t>. Th system proved successful and should be</w:t>
      </w:r>
      <w:r w:rsidRPr="001045BA">
        <w:rPr>
          <w:rFonts w:asciiTheme="minorHAnsi" w:hAnsiTheme="minorHAnsi" w:cstheme="minorHAnsi"/>
          <w:sz w:val="22"/>
          <w:szCs w:val="22"/>
        </w:rPr>
        <w:t xml:space="preserve"> expanded to other healthcare facilities</w:t>
      </w:r>
      <w:r w:rsidR="00830720">
        <w:rPr>
          <w:rFonts w:asciiTheme="minorHAnsi" w:hAnsiTheme="minorHAnsi" w:cstheme="minorHAnsi"/>
          <w:sz w:val="22"/>
          <w:szCs w:val="22"/>
        </w:rPr>
        <w:t xml:space="preserve"> and additional</w:t>
      </w:r>
      <w:r w:rsidRPr="001045BA">
        <w:rPr>
          <w:rFonts w:asciiTheme="minorHAnsi" w:hAnsiTheme="minorHAnsi" w:cstheme="minorHAnsi"/>
          <w:sz w:val="22"/>
          <w:szCs w:val="22"/>
        </w:rPr>
        <w:t xml:space="preserve"> ice brick suppliers.  </w:t>
      </w:r>
    </w:p>
    <w:p w14:paraId="322E5963" w14:textId="77777777" w:rsidR="00E519EA" w:rsidRPr="00632A52" w:rsidRDefault="00E519EA" w:rsidP="00E519EA">
      <w:pPr>
        <w:rPr>
          <w:rFonts w:asciiTheme="minorHAnsi" w:hAnsiTheme="minorHAnsi" w:cstheme="minorHAnsi"/>
        </w:rPr>
      </w:pPr>
    </w:p>
    <w:p w14:paraId="3727F3C2" w14:textId="77777777" w:rsidR="00E519EA" w:rsidRDefault="00E519EA" w:rsidP="00E519EA">
      <w:pPr>
        <w:pStyle w:val="ListParagraph"/>
        <w:numPr>
          <w:ilvl w:val="0"/>
          <w:numId w:val="6"/>
        </w:numPr>
        <w:rPr>
          <w:rFonts w:asciiTheme="minorHAnsi" w:hAnsiTheme="minorHAnsi" w:cstheme="minorHAnsi"/>
        </w:rPr>
      </w:pPr>
      <w:r>
        <w:rPr>
          <w:rFonts w:asciiTheme="minorHAnsi" w:hAnsiTheme="minorHAnsi" w:cstheme="minorHAnsi"/>
        </w:rPr>
        <w:t>Reusable holloware in theatres trial</w:t>
      </w:r>
    </w:p>
    <w:p w14:paraId="12BF31EF" w14:textId="63DE31AE" w:rsidR="00E519EA" w:rsidRPr="001045BA" w:rsidRDefault="00E519EA" w:rsidP="00E519EA">
      <w:pPr>
        <w:rPr>
          <w:rFonts w:asciiTheme="minorHAnsi" w:hAnsiTheme="minorHAnsi" w:cstheme="minorHAnsi"/>
          <w:sz w:val="22"/>
          <w:szCs w:val="22"/>
        </w:rPr>
      </w:pPr>
      <w:r w:rsidRPr="001045BA">
        <w:rPr>
          <w:rFonts w:asciiTheme="minorHAnsi" w:hAnsiTheme="minorHAnsi" w:cstheme="minorHAnsi"/>
          <w:sz w:val="22"/>
          <w:szCs w:val="22"/>
        </w:rPr>
        <w:t>Common single-use</w:t>
      </w:r>
      <w:r w:rsidR="00F51034">
        <w:rPr>
          <w:rFonts w:asciiTheme="minorHAnsi" w:hAnsiTheme="minorHAnsi" w:cstheme="minorHAnsi"/>
          <w:sz w:val="22"/>
          <w:szCs w:val="22"/>
        </w:rPr>
        <w:t xml:space="preserve"> plastic</w:t>
      </w:r>
      <w:r w:rsidRPr="001045BA">
        <w:rPr>
          <w:rFonts w:asciiTheme="minorHAnsi" w:hAnsiTheme="minorHAnsi" w:cstheme="minorHAnsi"/>
          <w:sz w:val="22"/>
          <w:szCs w:val="22"/>
        </w:rPr>
        <w:t xml:space="preserve"> items used in surgery packs and disposed of to landfill include holloware such as bowls, kidney dishes and gallipots. </w:t>
      </w:r>
      <w:r>
        <w:rPr>
          <w:rFonts w:asciiTheme="minorHAnsi" w:hAnsiTheme="minorHAnsi" w:cstheme="minorHAnsi"/>
          <w:sz w:val="22"/>
          <w:szCs w:val="22"/>
        </w:rPr>
        <w:t>During the trial, r</w:t>
      </w:r>
      <w:r w:rsidRPr="001045BA">
        <w:rPr>
          <w:rFonts w:asciiTheme="minorHAnsi" w:hAnsiTheme="minorHAnsi" w:cstheme="minorHAnsi"/>
          <w:sz w:val="22"/>
          <w:szCs w:val="22"/>
        </w:rPr>
        <w:t xml:space="preserve">eusable holloware items were procured and sterilised in-house to replace single-use holloware in select surgeries. If expanded to all </w:t>
      </w:r>
      <w:r w:rsidR="00D55663">
        <w:rPr>
          <w:rFonts w:asciiTheme="minorHAnsi" w:hAnsiTheme="minorHAnsi" w:cstheme="minorHAnsi"/>
          <w:sz w:val="22"/>
          <w:szCs w:val="22"/>
        </w:rPr>
        <w:t>public</w:t>
      </w:r>
      <w:r w:rsidR="00551CF3">
        <w:rPr>
          <w:rFonts w:asciiTheme="minorHAnsi" w:hAnsiTheme="minorHAnsi" w:cstheme="minorHAnsi"/>
          <w:sz w:val="22"/>
          <w:szCs w:val="22"/>
        </w:rPr>
        <w:t xml:space="preserve"> hospital</w:t>
      </w:r>
      <w:r w:rsidR="00D55663">
        <w:rPr>
          <w:rFonts w:asciiTheme="minorHAnsi" w:hAnsiTheme="minorHAnsi" w:cstheme="minorHAnsi"/>
          <w:sz w:val="22"/>
          <w:szCs w:val="22"/>
        </w:rPr>
        <w:t>s</w:t>
      </w:r>
      <w:r w:rsidRPr="001045BA">
        <w:rPr>
          <w:rFonts w:asciiTheme="minorHAnsi" w:hAnsiTheme="minorHAnsi" w:cstheme="minorHAnsi"/>
          <w:sz w:val="22"/>
          <w:szCs w:val="22"/>
        </w:rPr>
        <w:t xml:space="preserve">, </w:t>
      </w:r>
      <w:r w:rsidR="00D55663">
        <w:rPr>
          <w:rFonts w:asciiTheme="minorHAnsi" w:hAnsiTheme="minorHAnsi" w:cstheme="minorHAnsi"/>
          <w:sz w:val="22"/>
          <w:szCs w:val="22"/>
        </w:rPr>
        <w:t xml:space="preserve">over 33 million </w:t>
      </w:r>
      <w:r w:rsidRPr="001045BA">
        <w:rPr>
          <w:rFonts w:asciiTheme="minorHAnsi" w:hAnsiTheme="minorHAnsi" w:cstheme="minorHAnsi"/>
          <w:sz w:val="22"/>
          <w:szCs w:val="22"/>
        </w:rPr>
        <w:t xml:space="preserve">single-use plastic items could be diverted from landfill each year. The intervention had the added benefit of increasing the hospital’s supply chain sovereignty.    </w:t>
      </w:r>
    </w:p>
    <w:p w14:paraId="4BEB4E87" w14:textId="77777777" w:rsidR="00E519EA" w:rsidRPr="0064263A" w:rsidRDefault="00E519EA" w:rsidP="00E519EA">
      <w:pPr>
        <w:rPr>
          <w:rFonts w:asciiTheme="minorHAnsi" w:hAnsiTheme="minorHAnsi" w:cstheme="minorHAnsi"/>
        </w:rPr>
      </w:pPr>
    </w:p>
    <w:p w14:paraId="1D306D6F" w14:textId="77777777" w:rsidR="00E519EA" w:rsidRPr="00387809" w:rsidRDefault="00E519EA" w:rsidP="00E519EA">
      <w:pPr>
        <w:pStyle w:val="ListParagraph"/>
        <w:numPr>
          <w:ilvl w:val="0"/>
          <w:numId w:val="6"/>
        </w:numPr>
        <w:rPr>
          <w:rFonts w:asciiTheme="minorHAnsi" w:hAnsiTheme="minorHAnsi" w:cstheme="minorHAnsi"/>
        </w:rPr>
      </w:pPr>
      <w:r w:rsidRPr="00387809">
        <w:rPr>
          <w:rFonts w:asciiTheme="minorHAnsi" w:hAnsiTheme="minorHAnsi" w:cstheme="minorHAnsi"/>
        </w:rPr>
        <w:t xml:space="preserve">Redesign of theatre waste handling to reduce contamination in baled plastics. </w:t>
      </w:r>
    </w:p>
    <w:p w14:paraId="65E2ED60" w14:textId="5A895CA0" w:rsidR="00E519EA" w:rsidRPr="00387809" w:rsidRDefault="00E519EA" w:rsidP="00E519EA">
      <w:pPr>
        <w:rPr>
          <w:rFonts w:asciiTheme="minorHAnsi" w:hAnsiTheme="minorHAnsi" w:cstheme="minorHAnsi"/>
          <w:sz w:val="22"/>
          <w:szCs w:val="22"/>
        </w:rPr>
      </w:pPr>
      <w:r w:rsidRPr="00387809">
        <w:rPr>
          <w:rFonts w:asciiTheme="minorHAnsi" w:hAnsiTheme="minorHAnsi" w:cstheme="minorHAnsi"/>
          <w:sz w:val="22"/>
          <w:szCs w:val="22"/>
        </w:rPr>
        <w:t xml:space="preserve">Each day, approximately six 1100L bins, or 48kg, of plastic waste is generated and disposed of to landfill in one hospitals’ theatre department. Some clean plastic waste </w:t>
      </w:r>
      <w:r>
        <w:rPr>
          <w:rFonts w:asciiTheme="minorHAnsi" w:hAnsiTheme="minorHAnsi" w:cstheme="minorHAnsi"/>
          <w:sz w:val="22"/>
          <w:szCs w:val="22"/>
        </w:rPr>
        <w:t xml:space="preserve">is </w:t>
      </w:r>
      <w:r w:rsidRPr="00387809">
        <w:rPr>
          <w:rFonts w:asciiTheme="minorHAnsi" w:hAnsiTheme="minorHAnsi" w:cstheme="minorHAnsi"/>
          <w:sz w:val="22"/>
          <w:szCs w:val="22"/>
        </w:rPr>
        <w:t>suitable for recycling, including sterilisation wrap, device packaging, clear soft plastics, syringes and clean single-use holloware. Due to limited space, multiple trips to the loading dock are required each day to ensure there is bin capacity for theatres staff to dispose of waste between surgeries.</w:t>
      </w:r>
      <w:r w:rsidR="00830720">
        <w:rPr>
          <w:rFonts w:asciiTheme="minorHAnsi" w:hAnsiTheme="minorHAnsi" w:cstheme="minorHAnsi"/>
          <w:sz w:val="22"/>
          <w:szCs w:val="22"/>
        </w:rPr>
        <w:t xml:space="preserve"> The trial introduced baling equipment into the theatre waste room to</w:t>
      </w:r>
      <w:r w:rsidRPr="00387809">
        <w:rPr>
          <w:rFonts w:asciiTheme="minorHAnsi" w:hAnsiTheme="minorHAnsi" w:cstheme="minorHAnsi"/>
          <w:sz w:val="22"/>
          <w:szCs w:val="22"/>
        </w:rPr>
        <w:t xml:space="preserve"> reduc</w:t>
      </w:r>
      <w:r w:rsidR="00D55663">
        <w:rPr>
          <w:rFonts w:asciiTheme="minorHAnsi" w:hAnsiTheme="minorHAnsi" w:cstheme="minorHAnsi"/>
          <w:sz w:val="22"/>
          <w:szCs w:val="22"/>
        </w:rPr>
        <w:t>e</w:t>
      </w:r>
      <w:r w:rsidR="00830720">
        <w:rPr>
          <w:rFonts w:asciiTheme="minorHAnsi" w:hAnsiTheme="minorHAnsi" w:cstheme="minorHAnsi"/>
          <w:sz w:val="22"/>
          <w:szCs w:val="22"/>
        </w:rPr>
        <w:t xml:space="preserve"> </w:t>
      </w:r>
      <w:r w:rsidRPr="00387809">
        <w:rPr>
          <w:rFonts w:asciiTheme="minorHAnsi" w:hAnsiTheme="minorHAnsi" w:cstheme="minorHAnsi"/>
          <w:sz w:val="22"/>
          <w:szCs w:val="22"/>
        </w:rPr>
        <w:t xml:space="preserve">the trips required each day and </w:t>
      </w:r>
      <w:r w:rsidR="00830720">
        <w:rPr>
          <w:rFonts w:asciiTheme="minorHAnsi" w:hAnsiTheme="minorHAnsi" w:cstheme="minorHAnsi"/>
          <w:sz w:val="22"/>
          <w:szCs w:val="22"/>
        </w:rPr>
        <w:t xml:space="preserve">remove </w:t>
      </w:r>
      <w:r w:rsidRPr="00387809">
        <w:rPr>
          <w:rFonts w:asciiTheme="minorHAnsi" w:hAnsiTheme="minorHAnsi" w:cstheme="minorHAnsi"/>
          <w:sz w:val="22"/>
          <w:szCs w:val="22"/>
        </w:rPr>
        <w:t>the risk of contamination</w:t>
      </w:r>
      <w:r w:rsidR="00830720">
        <w:rPr>
          <w:rFonts w:asciiTheme="minorHAnsi" w:hAnsiTheme="minorHAnsi" w:cstheme="minorHAnsi"/>
          <w:sz w:val="22"/>
          <w:szCs w:val="22"/>
        </w:rPr>
        <w:t xml:space="preserve">. </w:t>
      </w:r>
      <w:r>
        <w:rPr>
          <w:rFonts w:asciiTheme="minorHAnsi" w:hAnsiTheme="minorHAnsi" w:cstheme="minorHAnsi"/>
          <w:sz w:val="22"/>
          <w:szCs w:val="22"/>
        </w:rPr>
        <w:t>During the trial, a</w:t>
      </w:r>
      <w:r w:rsidRPr="00387809">
        <w:rPr>
          <w:rFonts w:asciiTheme="minorHAnsi" w:hAnsiTheme="minorHAnsi" w:cstheme="minorHAnsi"/>
          <w:sz w:val="22"/>
          <w:szCs w:val="22"/>
        </w:rPr>
        <w:t>pproximately 240kg of plastic was baled and diverted from landfill</w:t>
      </w:r>
      <w:r>
        <w:rPr>
          <w:rFonts w:asciiTheme="minorHAnsi" w:hAnsiTheme="minorHAnsi" w:cstheme="minorHAnsi"/>
          <w:sz w:val="22"/>
          <w:szCs w:val="22"/>
        </w:rPr>
        <w:t xml:space="preserve"> each week. </w:t>
      </w:r>
      <w:r w:rsidRPr="00387809">
        <w:rPr>
          <w:rFonts w:asciiTheme="minorHAnsi" w:hAnsiTheme="minorHAnsi" w:cstheme="minorHAnsi"/>
          <w:sz w:val="22"/>
          <w:szCs w:val="22"/>
        </w:rPr>
        <w:t xml:space="preserve">If </w:t>
      </w:r>
      <w:r w:rsidR="00D55663">
        <w:rPr>
          <w:rFonts w:asciiTheme="minorHAnsi" w:hAnsiTheme="minorHAnsi" w:cstheme="minorHAnsi"/>
          <w:sz w:val="22"/>
          <w:szCs w:val="22"/>
        </w:rPr>
        <w:t>expanded to all public hospitals</w:t>
      </w:r>
      <w:r w:rsidRPr="00387809">
        <w:rPr>
          <w:rFonts w:asciiTheme="minorHAnsi" w:hAnsiTheme="minorHAnsi" w:cstheme="minorHAnsi"/>
          <w:sz w:val="22"/>
          <w:szCs w:val="22"/>
        </w:rPr>
        <w:t>, this intervention</w:t>
      </w:r>
      <w:r>
        <w:rPr>
          <w:rFonts w:asciiTheme="minorHAnsi" w:hAnsiTheme="minorHAnsi" w:cstheme="minorHAnsi"/>
          <w:sz w:val="22"/>
          <w:szCs w:val="22"/>
        </w:rPr>
        <w:t xml:space="preserve"> could divert </w:t>
      </w:r>
      <w:r w:rsidR="00D55663">
        <w:rPr>
          <w:rFonts w:asciiTheme="minorHAnsi" w:hAnsiTheme="minorHAnsi" w:cstheme="minorHAnsi"/>
          <w:sz w:val="22"/>
          <w:szCs w:val="22"/>
        </w:rPr>
        <w:t xml:space="preserve">almost 3000 </w:t>
      </w:r>
      <w:r w:rsidRPr="00D55663">
        <w:rPr>
          <w:rFonts w:asciiTheme="minorHAnsi" w:hAnsiTheme="minorHAnsi" w:cstheme="minorHAnsi"/>
          <w:sz w:val="22"/>
          <w:szCs w:val="22"/>
        </w:rPr>
        <w:t>tonnes</w:t>
      </w:r>
      <w:r>
        <w:rPr>
          <w:rFonts w:asciiTheme="minorHAnsi" w:hAnsiTheme="minorHAnsi" w:cstheme="minorHAnsi"/>
          <w:sz w:val="22"/>
          <w:szCs w:val="22"/>
        </w:rPr>
        <w:t xml:space="preserve"> of plastic per year. </w:t>
      </w:r>
    </w:p>
    <w:p w14:paraId="4DB9629A" w14:textId="77777777" w:rsidR="00E519EA" w:rsidRPr="00387809" w:rsidRDefault="00E519EA" w:rsidP="00E519EA">
      <w:pPr>
        <w:rPr>
          <w:rFonts w:asciiTheme="minorHAnsi" w:hAnsiTheme="minorHAnsi" w:cstheme="minorHAnsi"/>
          <w:sz w:val="22"/>
          <w:szCs w:val="22"/>
        </w:rPr>
      </w:pPr>
    </w:p>
    <w:p w14:paraId="4982506A" w14:textId="069FB5DB" w:rsidR="00245BD8" w:rsidRDefault="00E519EA" w:rsidP="00E519EA">
      <w:pPr>
        <w:rPr>
          <w:rStyle w:val="Style1"/>
        </w:rPr>
      </w:pPr>
      <w:r w:rsidRPr="00387809">
        <w:rPr>
          <w:rFonts w:asciiTheme="minorHAnsi" w:hAnsiTheme="minorHAnsi" w:cstheme="minorHAnsi"/>
          <w:sz w:val="22"/>
        </w:rPr>
        <w:t xml:space="preserve">In addition to the </w:t>
      </w:r>
      <w:r>
        <w:rPr>
          <w:rFonts w:asciiTheme="minorHAnsi" w:hAnsiTheme="minorHAnsi" w:cstheme="minorHAnsi"/>
          <w:sz w:val="22"/>
        </w:rPr>
        <w:t xml:space="preserve">practical findings </w:t>
      </w:r>
      <w:r w:rsidR="00830720">
        <w:rPr>
          <w:rFonts w:asciiTheme="minorHAnsi" w:hAnsiTheme="minorHAnsi" w:cstheme="minorHAnsi"/>
          <w:sz w:val="22"/>
        </w:rPr>
        <w:t>the trials identified</w:t>
      </w:r>
      <w:r>
        <w:rPr>
          <w:rFonts w:asciiTheme="minorHAnsi" w:hAnsiTheme="minorHAnsi" w:cstheme="minorHAnsi"/>
          <w:sz w:val="22"/>
        </w:rPr>
        <w:t xml:space="preserve"> mechanisms such as policy and product stewardship for medical plastic supplies, procurement guidelines for hospitals, funding incentives </w:t>
      </w:r>
      <w:r w:rsidR="00830720">
        <w:rPr>
          <w:rFonts w:asciiTheme="minorHAnsi" w:hAnsiTheme="minorHAnsi" w:cstheme="minorHAnsi"/>
          <w:sz w:val="22"/>
        </w:rPr>
        <w:t>that would</w:t>
      </w:r>
      <w:r>
        <w:rPr>
          <w:rFonts w:asciiTheme="minorHAnsi" w:hAnsiTheme="minorHAnsi" w:cstheme="minorHAnsi"/>
          <w:sz w:val="22"/>
        </w:rPr>
        <w:t xml:space="preserve"> encourage reusable options over single use and consistent best practice waste services across the sector.</w:t>
      </w:r>
    </w:p>
    <w:p w14:paraId="0C7117EC" w14:textId="77777777" w:rsidR="00E519EA" w:rsidRDefault="00E519EA" w:rsidP="005B6BAC">
      <w:pPr>
        <w:rPr>
          <w:rStyle w:val="Style1"/>
        </w:rPr>
      </w:pPr>
    </w:p>
    <w:p w14:paraId="0B529439" w14:textId="77777777" w:rsidR="00E519EA" w:rsidRDefault="00E519EA" w:rsidP="005B6BAC">
      <w:pPr>
        <w:rPr>
          <w:rStyle w:val="Style1"/>
        </w:rPr>
      </w:pPr>
    </w:p>
    <w:p w14:paraId="5EFFE36B" w14:textId="77777777" w:rsidR="00E519EA" w:rsidRDefault="00E519EA" w:rsidP="005B6BAC">
      <w:pPr>
        <w:rPr>
          <w:rStyle w:val="Style1"/>
        </w:rPr>
      </w:pPr>
    </w:p>
    <w:p w14:paraId="72D40BF4" w14:textId="77777777" w:rsidR="002D3389" w:rsidRDefault="002D3389" w:rsidP="005B6BAC">
      <w:pPr>
        <w:rPr>
          <w:rStyle w:val="Style1"/>
        </w:rPr>
      </w:pPr>
    </w:p>
    <w:p w14:paraId="2698EBAB" w14:textId="1649C1ED" w:rsidR="001E00CA" w:rsidRDefault="001E00CA" w:rsidP="005B6BAC">
      <w:pPr>
        <w:rPr>
          <w:rFonts w:asciiTheme="minorHAnsi" w:hAnsiTheme="minorHAnsi" w:cstheme="minorHAnsi"/>
          <w:sz w:val="22"/>
        </w:rPr>
      </w:pPr>
      <w:r>
        <w:rPr>
          <w:rFonts w:asciiTheme="minorHAnsi" w:hAnsiTheme="minorHAnsi" w:cstheme="minorHAnsi"/>
          <w:sz w:val="22"/>
        </w:rPr>
        <w:t xml:space="preserve"> </w:t>
      </w:r>
    </w:p>
    <w:p w14:paraId="18960EFF" w14:textId="77777777" w:rsidR="00387809" w:rsidRPr="002D3389" w:rsidRDefault="00387809" w:rsidP="005B6BAC">
      <w:pPr>
        <w:rPr>
          <w:rFonts w:asciiTheme="minorHAnsi" w:hAnsiTheme="minorHAnsi" w:cstheme="minorHAnsi"/>
          <w:b/>
          <w:bCs/>
          <w:sz w:val="22"/>
        </w:rPr>
      </w:pPr>
    </w:p>
    <w:p w14:paraId="20B5ECF6" w14:textId="77777777" w:rsidR="005B6BAC" w:rsidRPr="00950C1E" w:rsidRDefault="005B6BAC" w:rsidP="000F3DAE">
      <w:pPr>
        <w:rPr>
          <w:rFonts w:asciiTheme="minorHAnsi" w:hAnsiTheme="minorHAnsi" w:cstheme="minorHAnsi"/>
          <w:iCs/>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9E673C">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F65C" w14:textId="77777777" w:rsidR="0089607B" w:rsidRDefault="0089607B" w:rsidP="002A5213">
      <w:r>
        <w:separator/>
      </w:r>
    </w:p>
  </w:endnote>
  <w:endnote w:type="continuationSeparator" w:id="0">
    <w:p w14:paraId="45D0E410" w14:textId="77777777" w:rsidR="0089607B" w:rsidRDefault="0089607B"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CE38" w14:textId="77777777" w:rsidR="0089607B" w:rsidRDefault="0089607B" w:rsidP="002A5213">
      <w:bookmarkStart w:id="0" w:name="_Hlk18582623"/>
      <w:bookmarkEnd w:id="0"/>
      <w:r>
        <w:separator/>
      </w:r>
    </w:p>
  </w:footnote>
  <w:footnote w:type="continuationSeparator" w:id="0">
    <w:p w14:paraId="2B40C98F" w14:textId="77777777" w:rsidR="0089607B" w:rsidRDefault="0089607B"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1A2E7FED"/>
    <w:multiLevelType w:val="hybridMultilevel"/>
    <w:tmpl w:val="32FEC6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0B416C"/>
    <w:multiLevelType w:val="hybridMultilevel"/>
    <w:tmpl w:val="E1703E00"/>
    <w:lvl w:ilvl="0" w:tplc="1AD01EC6">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345CCF"/>
    <w:multiLevelType w:val="hybridMultilevel"/>
    <w:tmpl w:val="33DA9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4554688">
    <w:abstractNumId w:val="2"/>
  </w:num>
  <w:num w:numId="2" w16cid:durableId="694574442">
    <w:abstractNumId w:val="0"/>
  </w:num>
  <w:num w:numId="3" w16cid:durableId="622542285">
    <w:abstractNumId w:val="3"/>
  </w:num>
  <w:num w:numId="4" w16cid:durableId="385035406">
    <w:abstractNumId w:val="4"/>
  </w:num>
  <w:num w:numId="5" w16cid:durableId="936333407">
    <w:abstractNumId w:val="5"/>
  </w:num>
  <w:num w:numId="6" w16cid:durableId="77073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026C5"/>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196A"/>
    <w:rsid w:val="000F3DAE"/>
    <w:rsid w:val="000F76A8"/>
    <w:rsid w:val="001045BA"/>
    <w:rsid w:val="001131A5"/>
    <w:rsid w:val="00117A08"/>
    <w:rsid w:val="001216C9"/>
    <w:rsid w:val="00135107"/>
    <w:rsid w:val="00140375"/>
    <w:rsid w:val="0015533B"/>
    <w:rsid w:val="00165CE9"/>
    <w:rsid w:val="001759F0"/>
    <w:rsid w:val="00176676"/>
    <w:rsid w:val="00182DA6"/>
    <w:rsid w:val="00192CB4"/>
    <w:rsid w:val="001A0FD7"/>
    <w:rsid w:val="001D0493"/>
    <w:rsid w:val="001E00CA"/>
    <w:rsid w:val="001F5E8A"/>
    <w:rsid w:val="00245BD8"/>
    <w:rsid w:val="0025530F"/>
    <w:rsid w:val="00257103"/>
    <w:rsid w:val="00281B6C"/>
    <w:rsid w:val="00282899"/>
    <w:rsid w:val="00283F7C"/>
    <w:rsid w:val="002902C2"/>
    <w:rsid w:val="002939B5"/>
    <w:rsid w:val="0029790B"/>
    <w:rsid w:val="002A5213"/>
    <w:rsid w:val="002D3389"/>
    <w:rsid w:val="002E3A0D"/>
    <w:rsid w:val="002E69C5"/>
    <w:rsid w:val="002F0D89"/>
    <w:rsid w:val="00316BAD"/>
    <w:rsid w:val="00317D06"/>
    <w:rsid w:val="003257E0"/>
    <w:rsid w:val="00325CFA"/>
    <w:rsid w:val="003512FB"/>
    <w:rsid w:val="003549B3"/>
    <w:rsid w:val="003701B1"/>
    <w:rsid w:val="00371ABF"/>
    <w:rsid w:val="003755C2"/>
    <w:rsid w:val="00377671"/>
    <w:rsid w:val="00387809"/>
    <w:rsid w:val="003A5153"/>
    <w:rsid w:val="003B597C"/>
    <w:rsid w:val="003D3A2E"/>
    <w:rsid w:val="003D4927"/>
    <w:rsid w:val="003D50AA"/>
    <w:rsid w:val="003E1A49"/>
    <w:rsid w:val="003E49D1"/>
    <w:rsid w:val="003E67D6"/>
    <w:rsid w:val="004006F0"/>
    <w:rsid w:val="00407F18"/>
    <w:rsid w:val="00412ABD"/>
    <w:rsid w:val="00426D4E"/>
    <w:rsid w:val="00441462"/>
    <w:rsid w:val="00455319"/>
    <w:rsid w:val="00455CE0"/>
    <w:rsid w:val="00463CF4"/>
    <w:rsid w:val="004640A1"/>
    <w:rsid w:val="00480FFE"/>
    <w:rsid w:val="004812AA"/>
    <w:rsid w:val="00492442"/>
    <w:rsid w:val="0049503F"/>
    <w:rsid w:val="004C0B28"/>
    <w:rsid w:val="004D2855"/>
    <w:rsid w:val="004E2FF9"/>
    <w:rsid w:val="004F2771"/>
    <w:rsid w:val="004F5B49"/>
    <w:rsid w:val="004F6170"/>
    <w:rsid w:val="0050367D"/>
    <w:rsid w:val="005164D6"/>
    <w:rsid w:val="00517CB6"/>
    <w:rsid w:val="00540ACC"/>
    <w:rsid w:val="00542B1D"/>
    <w:rsid w:val="0055179E"/>
    <w:rsid w:val="00551CF3"/>
    <w:rsid w:val="0057319D"/>
    <w:rsid w:val="005731DA"/>
    <w:rsid w:val="00585827"/>
    <w:rsid w:val="0058617D"/>
    <w:rsid w:val="00587ABC"/>
    <w:rsid w:val="005975C6"/>
    <w:rsid w:val="005A0994"/>
    <w:rsid w:val="005A0BAE"/>
    <w:rsid w:val="005A439B"/>
    <w:rsid w:val="005B6BAC"/>
    <w:rsid w:val="005C3519"/>
    <w:rsid w:val="005C58B4"/>
    <w:rsid w:val="005D6F81"/>
    <w:rsid w:val="005E0D1C"/>
    <w:rsid w:val="005F038E"/>
    <w:rsid w:val="005F1B01"/>
    <w:rsid w:val="005F344F"/>
    <w:rsid w:val="0060412E"/>
    <w:rsid w:val="006073F6"/>
    <w:rsid w:val="00615C88"/>
    <w:rsid w:val="0061623C"/>
    <w:rsid w:val="00625E7E"/>
    <w:rsid w:val="00630682"/>
    <w:rsid w:val="00632A52"/>
    <w:rsid w:val="0064263A"/>
    <w:rsid w:val="00653ED4"/>
    <w:rsid w:val="00656CA4"/>
    <w:rsid w:val="006572A6"/>
    <w:rsid w:val="00662C5A"/>
    <w:rsid w:val="00664928"/>
    <w:rsid w:val="00670DFD"/>
    <w:rsid w:val="006713C6"/>
    <w:rsid w:val="00674920"/>
    <w:rsid w:val="00680042"/>
    <w:rsid w:val="00695CE7"/>
    <w:rsid w:val="006B503C"/>
    <w:rsid w:val="006F07A7"/>
    <w:rsid w:val="006F1520"/>
    <w:rsid w:val="006F1EC6"/>
    <w:rsid w:val="006F2C6D"/>
    <w:rsid w:val="006F3EF3"/>
    <w:rsid w:val="006F7E40"/>
    <w:rsid w:val="007023D5"/>
    <w:rsid w:val="007113DC"/>
    <w:rsid w:val="0071325B"/>
    <w:rsid w:val="007424AB"/>
    <w:rsid w:val="00742B07"/>
    <w:rsid w:val="00743594"/>
    <w:rsid w:val="00751140"/>
    <w:rsid w:val="00752B84"/>
    <w:rsid w:val="00761EFF"/>
    <w:rsid w:val="007637CF"/>
    <w:rsid w:val="00774BF2"/>
    <w:rsid w:val="007873E4"/>
    <w:rsid w:val="007A74A0"/>
    <w:rsid w:val="007B258F"/>
    <w:rsid w:val="007C7892"/>
    <w:rsid w:val="007D1D68"/>
    <w:rsid w:val="007E4345"/>
    <w:rsid w:val="007F249A"/>
    <w:rsid w:val="007F2CB7"/>
    <w:rsid w:val="007F35C4"/>
    <w:rsid w:val="007F5F39"/>
    <w:rsid w:val="008031E7"/>
    <w:rsid w:val="008071AC"/>
    <w:rsid w:val="008102FA"/>
    <w:rsid w:val="008111CA"/>
    <w:rsid w:val="00816CFC"/>
    <w:rsid w:val="00826575"/>
    <w:rsid w:val="00830720"/>
    <w:rsid w:val="0083662A"/>
    <w:rsid w:val="00855A1E"/>
    <w:rsid w:val="00860EFE"/>
    <w:rsid w:val="00864965"/>
    <w:rsid w:val="00882093"/>
    <w:rsid w:val="00884581"/>
    <w:rsid w:val="00885CD8"/>
    <w:rsid w:val="0089607B"/>
    <w:rsid w:val="008A2C71"/>
    <w:rsid w:val="008A7806"/>
    <w:rsid w:val="008C0698"/>
    <w:rsid w:val="008E300F"/>
    <w:rsid w:val="00922BE8"/>
    <w:rsid w:val="0092506F"/>
    <w:rsid w:val="00940188"/>
    <w:rsid w:val="00950C1E"/>
    <w:rsid w:val="00961AB4"/>
    <w:rsid w:val="00971442"/>
    <w:rsid w:val="0097698B"/>
    <w:rsid w:val="009843D2"/>
    <w:rsid w:val="00984819"/>
    <w:rsid w:val="0099018D"/>
    <w:rsid w:val="009919E8"/>
    <w:rsid w:val="00994AFC"/>
    <w:rsid w:val="0099653A"/>
    <w:rsid w:val="009B3904"/>
    <w:rsid w:val="009D2C0C"/>
    <w:rsid w:val="009D570E"/>
    <w:rsid w:val="009D6FC1"/>
    <w:rsid w:val="009E673C"/>
    <w:rsid w:val="009F4D48"/>
    <w:rsid w:val="00A11250"/>
    <w:rsid w:val="00A21F41"/>
    <w:rsid w:val="00A2259F"/>
    <w:rsid w:val="00A24076"/>
    <w:rsid w:val="00A25535"/>
    <w:rsid w:val="00A27373"/>
    <w:rsid w:val="00A30E3C"/>
    <w:rsid w:val="00A327E2"/>
    <w:rsid w:val="00A33F9E"/>
    <w:rsid w:val="00A41690"/>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B268F"/>
    <w:rsid w:val="00BB4905"/>
    <w:rsid w:val="00BD40C1"/>
    <w:rsid w:val="00BE0EDB"/>
    <w:rsid w:val="00BF4C61"/>
    <w:rsid w:val="00C05780"/>
    <w:rsid w:val="00C24F7A"/>
    <w:rsid w:val="00C32984"/>
    <w:rsid w:val="00C32AC0"/>
    <w:rsid w:val="00C37518"/>
    <w:rsid w:val="00C560B1"/>
    <w:rsid w:val="00C60C79"/>
    <w:rsid w:val="00C802A2"/>
    <w:rsid w:val="00C82922"/>
    <w:rsid w:val="00C90CE3"/>
    <w:rsid w:val="00C938DB"/>
    <w:rsid w:val="00CA3E22"/>
    <w:rsid w:val="00CA4D8E"/>
    <w:rsid w:val="00CB03E6"/>
    <w:rsid w:val="00CC223B"/>
    <w:rsid w:val="00CD0CE2"/>
    <w:rsid w:val="00CD2671"/>
    <w:rsid w:val="00CD38CE"/>
    <w:rsid w:val="00CE40C0"/>
    <w:rsid w:val="00CE461D"/>
    <w:rsid w:val="00D131C8"/>
    <w:rsid w:val="00D206FC"/>
    <w:rsid w:val="00D43407"/>
    <w:rsid w:val="00D4382D"/>
    <w:rsid w:val="00D55663"/>
    <w:rsid w:val="00D734CF"/>
    <w:rsid w:val="00DA273E"/>
    <w:rsid w:val="00DA2D86"/>
    <w:rsid w:val="00DC227E"/>
    <w:rsid w:val="00DE61B2"/>
    <w:rsid w:val="00DF2E7E"/>
    <w:rsid w:val="00E05678"/>
    <w:rsid w:val="00E0588A"/>
    <w:rsid w:val="00E229DA"/>
    <w:rsid w:val="00E242FB"/>
    <w:rsid w:val="00E30F8E"/>
    <w:rsid w:val="00E32A10"/>
    <w:rsid w:val="00E34562"/>
    <w:rsid w:val="00E4485E"/>
    <w:rsid w:val="00E519EA"/>
    <w:rsid w:val="00E52EBD"/>
    <w:rsid w:val="00E559CD"/>
    <w:rsid w:val="00E629B6"/>
    <w:rsid w:val="00E7445A"/>
    <w:rsid w:val="00E86139"/>
    <w:rsid w:val="00E86F13"/>
    <w:rsid w:val="00E92292"/>
    <w:rsid w:val="00E9663D"/>
    <w:rsid w:val="00EA3CA4"/>
    <w:rsid w:val="00EA4C3C"/>
    <w:rsid w:val="00EB271F"/>
    <w:rsid w:val="00EC08FC"/>
    <w:rsid w:val="00EC7FC9"/>
    <w:rsid w:val="00ED75E3"/>
    <w:rsid w:val="00EF0FBB"/>
    <w:rsid w:val="00EF2074"/>
    <w:rsid w:val="00F14E01"/>
    <w:rsid w:val="00F2048F"/>
    <w:rsid w:val="00F279CF"/>
    <w:rsid w:val="00F51034"/>
    <w:rsid w:val="00F579DD"/>
    <w:rsid w:val="00F61C8E"/>
    <w:rsid w:val="00F67C6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74468"/>
    <w:rsid w:val="000C54AA"/>
    <w:rsid w:val="001C1E00"/>
    <w:rsid w:val="00271FE3"/>
    <w:rsid w:val="00357B25"/>
    <w:rsid w:val="003C1D5C"/>
    <w:rsid w:val="004961F1"/>
    <w:rsid w:val="004F665F"/>
    <w:rsid w:val="005A1CB9"/>
    <w:rsid w:val="006254F4"/>
    <w:rsid w:val="00677B5D"/>
    <w:rsid w:val="00755B8C"/>
    <w:rsid w:val="00850078"/>
    <w:rsid w:val="00863AA7"/>
    <w:rsid w:val="008712F7"/>
    <w:rsid w:val="00900C02"/>
    <w:rsid w:val="009410EE"/>
    <w:rsid w:val="00970492"/>
    <w:rsid w:val="00A63C48"/>
    <w:rsid w:val="00AB0921"/>
    <w:rsid w:val="00B702C4"/>
    <w:rsid w:val="00C55A64"/>
    <w:rsid w:val="00D61FD0"/>
    <w:rsid w:val="00D84E96"/>
    <w:rsid w:val="00EB7840"/>
    <w:rsid w:val="00EC6B02"/>
    <w:rsid w:val="00F07F83"/>
    <w:rsid w:val="00F44621"/>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Bec Larkin</cp:lastModifiedBy>
  <cp:revision>3</cp:revision>
  <cp:lastPrinted>2015-09-22T02:38:00Z</cp:lastPrinted>
  <dcterms:created xsi:type="dcterms:W3CDTF">2023-12-14T05:53:00Z</dcterms:created>
  <dcterms:modified xsi:type="dcterms:W3CDTF">2023-12-14T05:53:00Z</dcterms:modified>
</cp:coreProperties>
</file>