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417CE2" w:rsidP="00BE191E">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BE191E">
              <w:rPr>
                <w:rFonts w:ascii="Fakt Pro Bln" w:hAnsi="Fakt Pro Bln" w:cs="Circular Std Book"/>
                <w:noProof/>
                <w:sz w:val="22"/>
                <w:szCs w:val="22"/>
              </w:rPr>
              <w:t>Ralph</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417CE2" w:rsidP="00BE191E">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BE191E">
              <w:rPr>
                <w:rFonts w:ascii="Fakt Pro Bln" w:hAnsi="Fakt Pro Bln" w:cs="Circular Std Book"/>
                <w:noProof/>
                <w:sz w:val="22"/>
                <w:szCs w:val="22"/>
              </w:rPr>
              <w:t>Samuelson</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417CE2" w:rsidP="00BE191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BE191E">
              <w:rPr>
                <w:rFonts w:ascii="Fakt Pro Bln" w:hAnsi="Fakt Pro Bln" w:cs="Circular Std Book"/>
                <w:noProof/>
                <w:sz w:val="22"/>
                <w:szCs w:val="22"/>
              </w:rPr>
              <w:t>Ministry of Transport</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417CE2" w:rsidP="00BE191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BE191E">
              <w:rPr>
                <w:rFonts w:ascii="Fakt Pro Bln" w:hAnsi="Fakt Pro Bln" w:cs="Circular Std Book"/>
                <w:noProof/>
                <w:sz w:val="22"/>
                <w:szCs w:val="22"/>
              </w:rPr>
              <w:t>PO Box 3175, Wellington 6140</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417CE2" w:rsidP="00BE191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BE191E">
              <w:rPr>
                <w:rFonts w:ascii="Fakt Pro Bln" w:hAnsi="Fakt Pro Bln" w:cs="Circular Std Book"/>
                <w:noProof/>
                <w:sz w:val="22"/>
                <w:szCs w:val="22"/>
              </w:rPr>
              <w:t>r.samuelson@transport.govt.nz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417CE2" w:rsidP="00BE191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BE191E">
              <w:rPr>
                <w:rFonts w:ascii="Fakt Pro Bln" w:hAnsi="Fakt Pro Bln" w:cs="Circular Std Book"/>
                <w:noProof/>
                <w:sz w:val="22"/>
                <w:szCs w:val="22"/>
              </w:rPr>
              <w:t>022 014 9083</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417CE2" w:rsidP="00BE191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BE191E">
              <w:rPr>
                <w:rFonts w:ascii="Fakt Pro Bln" w:hAnsi="Fakt Pro Bln" w:cs="Circular Std Book"/>
                <w:noProof/>
                <w:sz w:val="22"/>
                <w:szCs w:val="22"/>
              </w:rPr>
              <w:t>021 188 9627</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417CE2"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417CE2"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417CE2"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417CE2"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417CE2"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417CE2"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sidR="00F44BB9">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417CE2" w:rsidP="00BE191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BE191E">
              <w:rPr>
                <w:rFonts w:ascii="Fakt Pro Bln" w:hAnsi="Fakt Pro Bln" w:cs="Circular Std Book"/>
                <w:sz w:val="22"/>
                <w:szCs w:val="22"/>
              </w:rPr>
              <w:t> </w:t>
            </w:r>
            <w:r w:rsidR="00BE191E">
              <w:rPr>
                <w:rFonts w:ascii="Fakt Pro Bln" w:hAnsi="Fakt Pro Bln" w:cs="Circular Std Book"/>
                <w:sz w:val="22"/>
                <w:szCs w:val="22"/>
              </w:rPr>
              <w:t> </w:t>
            </w:r>
            <w:r w:rsidR="00BE191E">
              <w:rPr>
                <w:rFonts w:ascii="Fakt Pro Bln" w:hAnsi="Fakt Pro Bln" w:cs="Circular Std Book"/>
                <w:sz w:val="22"/>
                <w:szCs w:val="22"/>
              </w:rPr>
              <w:t> </w:t>
            </w:r>
            <w:r w:rsidR="00BE191E">
              <w:rPr>
                <w:rFonts w:ascii="Fakt Pro Bln" w:hAnsi="Fakt Pro Bln" w:cs="Circular Std Book"/>
                <w:sz w:val="22"/>
                <w:szCs w:val="22"/>
              </w:rPr>
              <w:t> </w:t>
            </w:r>
            <w:r w:rsidR="00BE191E">
              <w:rPr>
                <w:rFonts w:ascii="Fakt Pro Bln" w:hAnsi="Fakt Pro Bln" w:cs="Circular Std Book"/>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417CE2" w:rsidP="00BE191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BE191E">
              <w:rPr>
                <w:rFonts w:ascii="Fakt Pro Bln" w:hAnsi="Fakt Pro Bln" w:cs="Circular Std Book"/>
                <w:noProof/>
                <w:sz w:val="22"/>
                <w:szCs w:val="22"/>
              </w:rPr>
              <w:t>New Zealand Transport Outlook: Future State</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BE191E" w:rsidRPr="00BE191E" w:rsidRDefault="00417CE2" w:rsidP="00BE191E">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sidR="00F44BB9">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BE191E" w:rsidRPr="00BE191E">
              <w:rPr>
                <w:rFonts w:ascii="Fakt Pro Bln" w:hAnsi="Fakt Pro Bln" w:cs="Circular Std Book"/>
                <w:noProof/>
                <w:sz w:val="22"/>
                <w:szCs w:val="22"/>
              </w:rPr>
              <w:t xml:space="preserve">This session will summarise some key insights from the Ministry of Transport’s </w:t>
            </w:r>
            <w:r w:rsidR="00BE191E">
              <w:rPr>
                <w:rFonts w:ascii="Fakt Pro Bln" w:hAnsi="Fakt Pro Bln" w:cs="Circular Std Book"/>
                <w:noProof/>
                <w:sz w:val="22"/>
                <w:szCs w:val="22"/>
              </w:rPr>
              <w:t>"</w:t>
            </w:r>
            <w:r w:rsidR="00BE191E" w:rsidRPr="00BE191E">
              <w:rPr>
                <w:rFonts w:ascii="Fakt Pro Bln" w:hAnsi="Fakt Pro Bln" w:cs="Circular Std Book"/>
                <w:noProof/>
                <w:sz w:val="22"/>
                <w:szCs w:val="22"/>
              </w:rPr>
              <w:t>New Zealand Transport Outlook: Future State</w:t>
            </w:r>
            <w:r w:rsidR="00BE191E">
              <w:rPr>
                <w:rFonts w:ascii="Fakt Pro Bln" w:hAnsi="Fakt Pro Bln" w:cs="Circular Std Book"/>
                <w:noProof/>
                <w:sz w:val="22"/>
                <w:szCs w:val="22"/>
              </w:rPr>
              <w:t>"</w:t>
            </w:r>
            <w:r w:rsidR="00BE191E" w:rsidRPr="00BE191E">
              <w:rPr>
                <w:rFonts w:ascii="Fakt Pro Bln" w:hAnsi="Fakt Pro Bln" w:cs="Circular Std Book"/>
                <w:noProof/>
                <w:sz w:val="22"/>
                <w:szCs w:val="22"/>
              </w:rPr>
              <w:t xml:space="preserve">. The Future State document is currently in its final review, and is due to be released in late 2017.    </w:t>
            </w:r>
          </w:p>
          <w:p w:rsidR="00BE191E" w:rsidRPr="00BE191E" w:rsidRDefault="00BE191E" w:rsidP="00BE191E">
            <w:pPr>
              <w:spacing w:before="120" w:after="40"/>
              <w:rPr>
                <w:rFonts w:ascii="Fakt Pro Bln" w:hAnsi="Fakt Pro Bln" w:cs="Circular Std Book"/>
                <w:noProof/>
                <w:sz w:val="22"/>
                <w:szCs w:val="22"/>
              </w:rPr>
            </w:pPr>
          </w:p>
          <w:p w:rsidR="00BE191E" w:rsidRPr="00BE191E" w:rsidRDefault="00BE191E" w:rsidP="00BE191E">
            <w:pPr>
              <w:spacing w:before="120" w:after="40"/>
              <w:rPr>
                <w:rFonts w:ascii="Fakt Pro Bln" w:hAnsi="Fakt Pro Bln" w:cs="Circular Std Book"/>
                <w:noProof/>
                <w:sz w:val="22"/>
                <w:szCs w:val="22"/>
              </w:rPr>
            </w:pPr>
            <w:r w:rsidRPr="00BE191E">
              <w:rPr>
                <w:rFonts w:ascii="Fakt Pro Bln" w:hAnsi="Fakt Pro Bln" w:cs="Circular Std Book"/>
                <w:noProof/>
                <w:sz w:val="22"/>
                <w:szCs w:val="22"/>
              </w:rPr>
              <w:t xml:space="preserve">The Future State is the product of a significant modelling effort, which aims to identify some of the key trends and uncertainties that will influence the development of the transport sector </w:t>
            </w:r>
            <w:r>
              <w:rPr>
                <w:rFonts w:ascii="Fakt Pro Bln" w:hAnsi="Fakt Pro Bln" w:cs="Circular Std Book"/>
                <w:noProof/>
                <w:sz w:val="22"/>
                <w:szCs w:val="22"/>
              </w:rPr>
              <w:t xml:space="preserve">to 2042 </w:t>
            </w:r>
            <w:r w:rsidRPr="00BE191E">
              <w:rPr>
                <w:rFonts w:ascii="Fakt Pro Bln" w:hAnsi="Fakt Pro Bln" w:cs="Circular Std Book"/>
                <w:noProof/>
                <w:sz w:val="22"/>
                <w:szCs w:val="22"/>
              </w:rPr>
              <w:t>and to offer an initial set of alternative scenarios for how the future might unfold.</w:t>
            </w:r>
          </w:p>
          <w:p w:rsidR="00BE191E" w:rsidRPr="00BE191E" w:rsidRDefault="00BE191E" w:rsidP="00BE191E">
            <w:pPr>
              <w:spacing w:before="120" w:after="40"/>
              <w:rPr>
                <w:rFonts w:ascii="Fakt Pro Bln" w:hAnsi="Fakt Pro Bln" w:cs="Circular Std Book"/>
                <w:noProof/>
                <w:sz w:val="22"/>
                <w:szCs w:val="22"/>
              </w:rPr>
            </w:pPr>
          </w:p>
          <w:p w:rsidR="00BE191E" w:rsidRPr="00BE191E" w:rsidRDefault="00BE191E" w:rsidP="00BE191E">
            <w:pPr>
              <w:spacing w:before="120" w:after="40"/>
              <w:rPr>
                <w:rFonts w:ascii="Fakt Pro Bln" w:hAnsi="Fakt Pro Bln" w:cs="Circular Std Book"/>
                <w:noProof/>
                <w:sz w:val="22"/>
                <w:szCs w:val="22"/>
              </w:rPr>
            </w:pPr>
            <w:r w:rsidRPr="00BE191E">
              <w:rPr>
                <w:rFonts w:ascii="Fakt Pro Bln" w:hAnsi="Fakt Pro Bln" w:cs="Circular Std Book"/>
                <w:noProof/>
                <w:sz w:val="22"/>
                <w:szCs w:val="22"/>
              </w:rPr>
              <w:t>This presentation will look at trends and uncertainties including the impacts of population and economic growth, growing numbers of overseas visitors, the ageing population, the increasing popularity of inner-city living, the likely adoption of new technologies including self-driving vehicles, electric vehicles, shared-</w:t>
            </w:r>
            <w:r w:rsidRPr="00BE191E">
              <w:rPr>
                <w:rFonts w:ascii="Fakt Pro Bln" w:hAnsi="Fakt Pro Bln" w:cs="Circular Std Book"/>
                <w:noProof/>
                <w:sz w:val="22"/>
                <w:szCs w:val="22"/>
              </w:rPr>
              <w:lastRenderedPageBreak/>
              <w:t xml:space="preserve">mobility concepts, as well as larger container ships. In addition to projections of travel and freight demand by mode and region, impacts examined include congestion, greenhouse gas emissions, and health outcomes.        </w:t>
            </w:r>
          </w:p>
          <w:p w:rsidR="00BE191E" w:rsidRPr="00BE191E" w:rsidRDefault="00BE191E" w:rsidP="00BE191E">
            <w:pPr>
              <w:spacing w:before="120" w:after="40"/>
              <w:rPr>
                <w:rFonts w:ascii="Fakt Pro Bln" w:hAnsi="Fakt Pro Bln" w:cs="Circular Std Book"/>
                <w:noProof/>
                <w:sz w:val="22"/>
                <w:szCs w:val="22"/>
              </w:rPr>
            </w:pPr>
          </w:p>
          <w:p w:rsidR="00657112" w:rsidRPr="00141C3F" w:rsidRDefault="00BE191E" w:rsidP="00BE191E">
            <w:pPr>
              <w:spacing w:before="120" w:after="40"/>
              <w:rPr>
                <w:rFonts w:ascii="Fakt Pro Bln" w:hAnsi="Fakt Pro Bln" w:cs="Circular Std Book"/>
              </w:rPr>
            </w:pPr>
            <w:r w:rsidRPr="00BE191E">
              <w:rPr>
                <w:rFonts w:ascii="Fakt Pro Bln" w:hAnsi="Fakt Pro Bln" w:cs="Circular Std Book"/>
                <w:noProof/>
                <w:sz w:val="22"/>
                <w:szCs w:val="22"/>
              </w:rPr>
              <w:t xml:space="preserve">It will also include a sample of results from the Outlook’s models for five alternative future scenarios. In addition to alternative assumptions about the trends discussed above, the scenarios vary in their assumptions about the distribution of population growth around the country and whether demand management road pricing is adopted in Auckland and Wellington. </w:t>
            </w:r>
            <w:r w:rsidR="00417CE2">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515" w:rsidRDefault="00094515">
      <w:r>
        <w:separator/>
      </w:r>
    </w:p>
  </w:endnote>
  <w:endnote w:type="continuationSeparator" w:id="0">
    <w:p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2000000000000000000"/>
    <w:charset w:val="00"/>
    <w:family w:val="modern"/>
    <w:notTrueType/>
    <w:pitch w:val="variable"/>
    <w:sig w:usb0="00000087"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2000000000000000000"/>
    <w:charset w:val="00"/>
    <w:family w:val="modern"/>
    <w:notTrueType/>
    <w:pitch w:val="variable"/>
    <w:sig w:usb0="00000087"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417CE2"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515" w:rsidRDefault="00094515">
      <w:r>
        <w:separator/>
      </w:r>
    </w:p>
  </w:footnote>
  <w:footnote w:type="continuationSeparator" w:id="0">
    <w:p w:rsidR="00094515" w:rsidRDefault="0009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9.75pt;height:81.75pt" o:bullet="t">
        <v:imagedata r:id="rId1" o:title="Bullet Point"/>
      </v:shape>
    </w:pict>
  </w:numPicBullet>
  <w:numPicBullet w:numPicBulletId="1">
    <w:pict>
      <v:shape id="_x0000_i1042" type="#_x0000_t75" style="width:176.25pt;height:170.25pt" o:bullet="t">
        <v:imagedata r:id="rId2" o:title="Conf-Icon"/>
      </v:shape>
    </w:pict>
  </w:numPicBullet>
  <w:numPicBullet w:numPicBulletId="2">
    <w:pict>
      <v:shape id="_x0000_i1043" type="#_x0000_t75" style="width:151.5pt;height:144.75pt" o:bullet="t">
        <v:imagedata r:id="rId3" o:title="Conf-Icon"/>
      </v:shape>
    </w:pict>
  </w:numPicBullet>
  <w:numPicBullet w:numPicBulletId="3">
    <w:pict>
      <v:shape id="_x0000_i1044" type="#_x0000_t75" style="width:122.25pt;height:111pt" o:bullet="t">
        <v:imagedata r:id="rId4" o:title="Bullet Point"/>
      </v:shape>
    </w:pict>
  </w:numPicBullet>
  <w:numPicBullet w:numPicBulletId="4">
    <w:pict>
      <v:shape id="_x0000_i1045" type="#_x0000_t75" style="width:109.5pt;height:107.2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178C"/>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17CE2"/>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191E"/>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EFBFE2A-FBEF-49BE-B7D8-F6A656367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6941D2-3285-434C-B93E-198270ED3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2203</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Julian Harding</cp:lastModifiedBy>
  <cp:revision>2</cp:revision>
  <cp:lastPrinted>2017-09-24T23:53:00Z</cp:lastPrinted>
  <dcterms:created xsi:type="dcterms:W3CDTF">2017-12-18T20:57:00Z</dcterms:created>
  <dcterms:modified xsi:type="dcterms:W3CDTF">2017-12-18T20:57:00Z</dcterms:modified>
</cp:coreProperties>
</file>