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CB227" w14:textId="77777777" w:rsidR="00F44BB9" w:rsidRPr="00DA3906" w:rsidRDefault="00F44BB9" w:rsidP="00F44BB9">
      <w:pPr>
        <w:ind w:left="45"/>
        <w:jc w:val="center"/>
        <w:rPr>
          <w:rFonts w:ascii="Fakt Pro Bln" w:hAnsi="Fakt Pro Bln" w:cs="Circular Std Book"/>
          <w:b/>
          <w:sz w:val="20"/>
          <w:szCs w:val="20"/>
        </w:rPr>
      </w:pPr>
    </w:p>
    <w:p w14:paraId="054B8AEA" w14:textId="77777777"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14:paraId="3E1CF984" w14:textId="77777777"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14:paraId="789D13DE" w14:textId="77777777"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14:paraId="2EBA2F9A" w14:textId="77777777" w:rsidTr="00B51C59">
        <w:trPr>
          <w:trHeight w:val="482"/>
        </w:trPr>
        <w:tc>
          <w:tcPr>
            <w:tcW w:w="10405" w:type="dxa"/>
            <w:gridSpan w:val="5"/>
            <w:shd w:val="clear" w:color="auto" w:fill="auto"/>
            <w:vAlign w:val="center"/>
          </w:tcPr>
          <w:p w14:paraId="3D102076"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14:paraId="7A5E9BF6" w14:textId="77777777" w:rsidTr="00657112">
        <w:trPr>
          <w:trHeight w:val="637"/>
        </w:trPr>
        <w:tc>
          <w:tcPr>
            <w:tcW w:w="2268" w:type="dxa"/>
            <w:shd w:val="clear" w:color="auto" w:fill="auto"/>
            <w:vAlign w:val="center"/>
          </w:tcPr>
          <w:p w14:paraId="37C0ED87"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7F6531ED" w14:textId="3ACC28F2" w:rsidR="00B51C59" w:rsidRPr="00A1384F" w:rsidRDefault="00F44BB9" w:rsidP="0047542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7542F">
              <w:rPr>
                <w:rFonts w:ascii="Fakt Pro Bln" w:hAnsi="Fakt Pro Bln" w:cs="Circular Std Book"/>
                <w:noProof/>
                <w:sz w:val="22"/>
                <w:szCs w:val="22"/>
              </w:rPr>
              <w:t>Graeme</w:t>
            </w:r>
            <w:r>
              <w:rPr>
                <w:rFonts w:ascii="Fakt Pro Bln" w:hAnsi="Fakt Pro Bln" w:cs="Circular Std Book"/>
                <w:sz w:val="22"/>
                <w:szCs w:val="22"/>
              </w:rPr>
              <w:fldChar w:fldCharType="end"/>
            </w:r>
            <w:bookmarkEnd w:id="0"/>
          </w:p>
        </w:tc>
        <w:tc>
          <w:tcPr>
            <w:tcW w:w="1791" w:type="dxa"/>
            <w:shd w:val="clear" w:color="auto" w:fill="auto"/>
            <w:vAlign w:val="center"/>
          </w:tcPr>
          <w:p w14:paraId="683941CA"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779DC369" w14:textId="3C498235" w:rsidR="00B51C59" w:rsidRPr="00A1384F" w:rsidRDefault="00F44BB9" w:rsidP="0047542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7542F">
              <w:rPr>
                <w:rFonts w:ascii="Fakt Pro Bln" w:hAnsi="Fakt Pro Bln" w:cs="Circular Std Book"/>
                <w:noProof/>
                <w:sz w:val="22"/>
                <w:szCs w:val="22"/>
              </w:rPr>
              <w:t>Bean</w:t>
            </w:r>
            <w:r>
              <w:rPr>
                <w:rFonts w:ascii="Fakt Pro Bln" w:hAnsi="Fakt Pro Bln" w:cs="Circular Std Book"/>
                <w:sz w:val="22"/>
                <w:szCs w:val="22"/>
              </w:rPr>
              <w:fldChar w:fldCharType="end"/>
            </w:r>
          </w:p>
        </w:tc>
      </w:tr>
      <w:tr w:rsidR="00B51C59" w:rsidRPr="00A1384F" w14:paraId="13565F50" w14:textId="77777777" w:rsidTr="00657112">
        <w:trPr>
          <w:trHeight w:val="548"/>
        </w:trPr>
        <w:tc>
          <w:tcPr>
            <w:tcW w:w="2268" w:type="dxa"/>
            <w:shd w:val="clear" w:color="auto" w:fill="auto"/>
            <w:vAlign w:val="center"/>
          </w:tcPr>
          <w:p w14:paraId="1A922049"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72ED43FE" w14:textId="5903CD30" w:rsidR="00B51C59" w:rsidRPr="00A1384F" w:rsidRDefault="00F44BB9" w:rsidP="0047542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7542F">
              <w:rPr>
                <w:rFonts w:ascii="Fakt Pro Bln" w:hAnsi="Fakt Pro Bln" w:cs="Circular Std Book"/>
                <w:noProof/>
                <w:sz w:val="22"/>
                <w:szCs w:val="22"/>
              </w:rPr>
              <w:t>Auckland Transport</w:t>
            </w:r>
            <w:r>
              <w:rPr>
                <w:rFonts w:ascii="Fakt Pro Bln" w:hAnsi="Fakt Pro Bln" w:cs="Circular Std Book"/>
                <w:sz w:val="22"/>
                <w:szCs w:val="22"/>
              </w:rPr>
              <w:fldChar w:fldCharType="end"/>
            </w:r>
          </w:p>
        </w:tc>
      </w:tr>
      <w:tr w:rsidR="00B51C59" w:rsidRPr="00A1384F" w14:paraId="2E513ED0" w14:textId="77777777" w:rsidTr="00657112">
        <w:trPr>
          <w:trHeight w:val="548"/>
        </w:trPr>
        <w:tc>
          <w:tcPr>
            <w:tcW w:w="2268" w:type="dxa"/>
            <w:shd w:val="clear" w:color="auto" w:fill="auto"/>
            <w:vAlign w:val="center"/>
          </w:tcPr>
          <w:p w14:paraId="7393333C"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14:paraId="71218752" w14:textId="0ED9BAD6" w:rsidR="00B51C59" w:rsidRPr="00A1384F" w:rsidRDefault="00F44BB9" w:rsidP="00A863D1">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A863D1">
              <w:rPr>
                <w:rFonts w:ascii="Fakt Pro Bln" w:hAnsi="Fakt Pro Bln" w:cs="Circular Std Book"/>
                <w:sz w:val="22"/>
                <w:szCs w:val="22"/>
              </w:rPr>
              <w:t xml:space="preserve">20 Viaduct Harbour Avenue, Auckland Central, </w:t>
            </w:r>
            <w:r w:rsidR="00A863D1">
              <w:rPr>
                <w:rFonts w:ascii="Fakt Pro Bln" w:hAnsi="Fakt Pro Bln" w:cs="Circular Std Book"/>
                <w:noProof/>
                <w:sz w:val="22"/>
                <w:szCs w:val="22"/>
              </w:rPr>
              <w:t>Private Bag 92250, Auckland 1142</w:t>
            </w:r>
            <w:r>
              <w:rPr>
                <w:rFonts w:ascii="Fakt Pro Bln" w:hAnsi="Fakt Pro Bln" w:cs="Circular Std Book"/>
                <w:sz w:val="22"/>
                <w:szCs w:val="22"/>
              </w:rPr>
              <w:fldChar w:fldCharType="end"/>
            </w:r>
          </w:p>
        </w:tc>
      </w:tr>
      <w:tr w:rsidR="00B51C59" w:rsidRPr="00A1384F" w14:paraId="5B8E0295" w14:textId="77777777" w:rsidTr="00657112">
        <w:trPr>
          <w:trHeight w:val="548"/>
        </w:trPr>
        <w:tc>
          <w:tcPr>
            <w:tcW w:w="2268" w:type="dxa"/>
            <w:shd w:val="clear" w:color="auto" w:fill="auto"/>
            <w:vAlign w:val="center"/>
          </w:tcPr>
          <w:p w14:paraId="7DE38C4C"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14:paraId="1D8A3E8A" w14:textId="6E44C895" w:rsidR="00B51C59" w:rsidRPr="00A1384F" w:rsidRDefault="00F44BB9" w:rsidP="0047542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7542F">
              <w:rPr>
                <w:rFonts w:ascii="Fakt Pro Bln" w:hAnsi="Fakt Pro Bln" w:cs="Circular Std Book"/>
                <w:noProof/>
                <w:sz w:val="22"/>
                <w:szCs w:val="22"/>
              </w:rPr>
              <w:t>graeme.bean@at.govt.nz</w:t>
            </w:r>
            <w:r>
              <w:rPr>
                <w:rFonts w:ascii="Fakt Pro Bln" w:hAnsi="Fakt Pro Bln" w:cs="Circular Std Book"/>
                <w:sz w:val="22"/>
                <w:szCs w:val="22"/>
              </w:rPr>
              <w:fldChar w:fldCharType="end"/>
            </w:r>
          </w:p>
        </w:tc>
      </w:tr>
      <w:tr w:rsidR="00B51C59" w:rsidRPr="00A1384F" w14:paraId="1BEE70A3" w14:textId="77777777" w:rsidTr="00657112">
        <w:trPr>
          <w:trHeight w:val="548"/>
        </w:trPr>
        <w:tc>
          <w:tcPr>
            <w:tcW w:w="2268" w:type="dxa"/>
            <w:shd w:val="clear" w:color="auto" w:fill="auto"/>
            <w:vAlign w:val="center"/>
          </w:tcPr>
          <w:p w14:paraId="7205EEC9" w14:textId="77777777"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14:paraId="68A67AFF" w14:textId="77777777"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845" w:type="dxa"/>
            <w:gridSpan w:val="2"/>
            <w:shd w:val="clear" w:color="auto" w:fill="auto"/>
            <w:vAlign w:val="center"/>
          </w:tcPr>
          <w:p w14:paraId="55C96AB8" w14:textId="77777777"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14:paraId="2B0FE5C5" w14:textId="45E385D9" w:rsidR="00B51C59" w:rsidRPr="00A1384F" w:rsidRDefault="00F44BB9" w:rsidP="0047542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47542F">
              <w:rPr>
                <w:rFonts w:ascii="Fakt Pro Bln" w:hAnsi="Fakt Pro Bln" w:cs="Circular Std Book"/>
                <w:noProof/>
                <w:sz w:val="22"/>
                <w:szCs w:val="22"/>
              </w:rPr>
              <w:t>021805086</w:t>
            </w:r>
            <w:r>
              <w:rPr>
                <w:rFonts w:ascii="Fakt Pro Bln" w:hAnsi="Fakt Pro Bln" w:cs="Circular Std Book"/>
                <w:sz w:val="22"/>
                <w:szCs w:val="22"/>
              </w:rPr>
              <w:fldChar w:fldCharType="end"/>
            </w:r>
          </w:p>
        </w:tc>
      </w:tr>
      <w:tr w:rsidR="00CE155D" w:rsidRPr="00A1384F" w14:paraId="05B954E5" w14:textId="77777777" w:rsidTr="00B51C59">
        <w:trPr>
          <w:trHeight w:val="482"/>
        </w:trPr>
        <w:tc>
          <w:tcPr>
            <w:tcW w:w="10405" w:type="dxa"/>
            <w:gridSpan w:val="5"/>
            <w:shd w:val="clear" w:color="auto" w:fill="auto"/>
            <w:vAlign w:val="center"/>
          </w:tcPr>
          <w:p w14:paraId="2563EE4A" w14:textId="77777777"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14:paraId="4D217648" w14:textId="77777777" w:rsidTr="00657112">
        <w:trPr>
          <w:trHeight w:val="637"/>
        </w:trPr>
        <w:tc>
          <w:tcPr>
            <w:tcW w:w="2268" w:type="dxa"/>
            <w:shd w:val="clear" w:color="auto" w:fill="auto"/>
            <w:vAlign w:val="center"/>
          </w:tcPr>
          <w:p w14:paraId="31FA77A9" w14:textId="77777777"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14:paraId="70CD5726"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109534F5" w14:textId="77777777"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471D6110"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14:paraId="7A8581A0" w14:textId="77777777" w:rsidTr="00657112">
        <w:trPr>
          <w:trHeight w:val="548"/>
        </w:trPr>
        <w:tc>
          <w:tcPr>
            <w:tcW w:w="2268" w:type="dxa"/>
            <w:shd w:val="clear" w:color="auto" w:fill="auto"/>
            <w:vAlign w:val="center"/>
          </w:tcPr>
          <w:p w14:paraId="17C38F56" w14:textId="77777777"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445E8E4A" w14:textId="77777777"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7374C8B6" w14:textId="77777777" w:rsidTr="00B51C59">
        <w:trPr>
          <w:trHeight w:val="482"/>
        </w:trPr>
        <w:tc>
          <w:tcPr>
            <w:tcW w:w="10405" w:type="dxa"/>
            <w:gridSpan w:val="5"/>
            <w:shd w:val="clear" w:color="auto" w:fill="auto"/>
            <w:vAlign w:val="center"/>
          </w:tcPr>
          <w:p w14:paraId="6ECAC1AC"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14:paraId="43871032" w14:textId="77777777" w:rsidTr="00DA3906">
        <w:trPr>
          <w:trHeight w:val="637"/>
        </w:trPr>
        <w:tc>
          <w:tcPr>
            <w:tcW w:w="2268" w:type="dxa"/>
            <w:shd w:val="clear" w:color="auto" w:fill="auto"/>
            <w:vAlign w:val="center"/>
          </w:tcPr>
          <w:p w14:paraId="6244D73D"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0602395F"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1E5FAECE"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57C1DEA4"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265BBBF9" w14:textId="77777777" w:rsidTr="00DA3906">
        <w:trPr>
          <w:trHeight w:val="548"/>
        </w:trPr>
        <w:tc>
          <w:tcPr>
            <w:tcW w:w="2268" w:type="dxa"/>
            <w:tcBorders>
              <w:bottom w:val="single" w:sz="48" w:space="0" w:color="808080" w:themeColor="background1" w:themeShade="80"/>
            </w:tcBorders>
            <w:shd w:val="clear" w:color="auto" w:fill="auto"/>
            <w:vAlign w:val="center"/>
          </w:tcPr>
          <w:p w14:paraId="2F85271B"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14:paraId="223A0197" w14:textId="77777777"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14:paraId="31E5970E" w14:textId="77777777" w:rsidTr="00DA3906">
        <w:trPr>
          <w:trHeight w:val="548"/>
        </w:trPr>
        <w:tc>
          <w:tcPr>
            <w:tcW w:w="2268" w:type="dxa"/>
            <w:tcBorders>
              <w:top w:val="single" w:sz="48" w:space="0" w:color="808080" w:themeColor="background1" w:themeShade="80"/>
            </w:tcBorders>
            <w:shd w:val="clear" w:color="auto" w:fill="auto"/>
            <w:vAlign w:val="center"/>
          </w:tcPr>
          <w:p w14:paraId="28470930" w14:textId="77777777"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14:paraId="48384616" w14:textId="0846A9FE" w:rsidR="00657112" w:rsidRPr="00A1384F" w:rsidRDefault="00F44BB9" w:rsidP="00E020D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020D0">
              <w:rPr>
                <w:rFonts w:ascii="Fakt Pro Bln" w:hAnsi="Fakt Pro Bln" w:cs="Circular Std Book"/>
                <w:sz w:val="22"/>
                <w:szCs w:val="22"/>
              </w:rPr>
              <w:t xml:space="preserve">Then - </w:t>
            </w:r>
            <w:r w:rsidR="00E020D0">
              <w:rPr>
                <w:rFonts w:ascii="Fakt Pro Bln" w:hAnsi="Fakt Pro Bln" w:cs="Circular Std Book"/>
                <w:noProof/>
                <w:sz w:val="22"/>
                <w:szCs w:val="22"/>
              </w:rPr>
              <w:t>converting lessons from the past to opportunities for recent projects</w:t>
            </w:r>
            <w:bookmarkStart w:id="1" w:name="_GoBack"/>
            <w:bookmarkEnd w:id="1"/>
            <w:r>
              <w:rPr>
                <w:rFonts w:ascii="Fakt Pro Bln" w:hAnsi="Fakt Pro Bln" w:cs="Circular Std Book"/>
                <w:sz w:val="22"/>
                <w:szCs w:val="22"/>
              </w:rPr>
              <w:fldChar w:fldCharType="end"/>
            </w:r>
          </w:p>
        </w:tc>
      </w:tr>
      <w:tr w:rsidR="00657112" w:rsidRPr="00A1384F" w14:paraId="3560DF89" w14:textId="77777777" w:rsidTr="00DA3906">
        <w:trPr>
          <w:trHeight w:val="548"/>
        </w:trPr>
        <w:tc>
          <w:tcPr>
            <w:tcW w:w="2268" w:type="dxa"/>
            <w:shd w:val="clear" w:color="auto" w:fill="auto"/>
            <w:vAlign w:val="center"/>
          </w:tcPr>
          <w:p w14:paraId="4FE0BE7D" w14:textId="77777777"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14:paraId="7BF8A968" w14:textId="77777777"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14:paraId="0D87FF7C" w14:textId="22CCC2B7" w:rsidR="00657112" w:rsidRPr="00A1384F" w:rsidRDefault="00F44BB9" w:rsidP="00E020D0">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020D0" w:rsidRPr="00E020D0">
              <w:rPr>
                <w:rFonts w:ascii="Fakt Pro Bln" w:hAnsi="Fakt Pro Bln" w:cs="Circular Std Book"/>
                <w:noProof/>
                <w:sz w:val="22"/>
                <w:szCs w:val="22"/>
              </w:rPr>
              <w:t>Auckland’s Cycling Revolution - Evolution Lessons Learnt</w:t>
            </w:r>
            <w:r>
              <w:rPr>
                <w:rFonts w:ascii="Fakt Pro Bln" w:hAnsi="Fakt Pro Bln" w:cs="Circular Std Book"/>
                <w:sz w:val="22"/>
                <w:szCs w:val="22"/>
              </w:rPr>
              <w:fldChar w:fldCharType="end"/>
            </w:r>
          </w:p>
        </w:tc>
      </w:tr>
      <w:tr w:rsidR="00657112" w:rsidRPr="00A1384F" w14:paraId="70D264C6" w14:textId="77777777" w:rsidTr="00DA3906">
        <w:trPr>
          <w:trHeight w:val="548"/>
        </w:trPr>
        <w:tc>
          <w:tcPr>
            <w:tcW w:w="10405" w:type="dxa"/>
            <w:gridSpan w:val="5"/>
            <w:tcBorders>
              <w:bottom w:val="single" w:sz="48" w:space="0" w:color="808080" w:themeColor="background1" w:themeShade="80"/>
            </w:tcBorders>
            <w:shd w:val="clear" w:color="auto" w:fill="auto"/>
          </w:tcPr>
          <w:p w14:paraId="606C5A0B" w14:textId="77777777"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14:paraId="30D0C17E" w14:textId="77777777" w:rsidR="00E020D0" w:rsidRPr="00E020D0" w:rsidRDefault="00F44BB9" w:rsidP="00E020D0">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E020D0" w:rsidRPr="00E020D0">
              <w:rPr>
                <w:rFonts w:ascii="Fakt Pro Bln" w:hAnsi="Fakt Pro Bln" w:cs="Circular Std Book"/>
                <w:noProof/>
                <w:sz w:val="22"/>
                <w:szCs w:val="22"/>
              </w:rPr>
              <w:t xml:space="preserve">Auckland Transport has geared up with Auckland Council and NZ Transport Agency since January 2015 to deliver an Urban Cycleway Programme (UCP). The Minister for Transport launched the nation’s first projects from what is now Te Ara I Whiti (lightpath)/ Nelson St cycleway. Concentrating initial efforts on Auckland’s CBD and working out to the near suburbs is described by some as working in a VUCA (Volatile, Uncertain, Complex, Ambiguous) environment. </w:t>
            </w:r>
          </w:p>
          <w:p w14:paraId="539BC727" w14:textId="77777777" w:rsidR="00E020D0" w:rsidRPr="00E020D0" w:rsidRDefault="00E020D0" w:rsidP="00E020D0">
            <w:pPr>
              <w:spacing w:before="120" w:after="40"/>
              <w:rPr>
                <w:rFonts w:ascii="Fakt Pro Bln" w:hAnsi="Fakt Pro Bln" w:cs="Circular Std Book"/>
                <w:noProof/>
                <w:sz w:val="22"/>
                <w:szCs w:val="22"/>
              </w:rPr>
            </w:pPr>
            <w:r w:rsidRPr="00E020D0">
              <w:rPr>
                <w:rFonts w:ascii="Fakt Pro Bln" w:hAnsi="Fakt Pro Bln" w:cs="Circular Std Book"/>
                <w:noProof/>
                <w:sz w:val="22"/>
                <w:szCs w:val="22"/>
              </w:rPr>
              <w:t>The Revolution of cycling has required the Evolution of design and delivery processes and methods in order to navigate the many private and public projects (eg. City Rail Link, Mass Rapid Transit, Bus Passenger New Network) under way that are changing current operating conditions and future states of the built environment.</w:t>
            </w:r>
          </w:p>
          <w:p w14:paraId="1A340ED8" w14:textId="77777777" w:rsidR="00E020D0" w:rsidRPr="00E020D0" w:rsidRDefault="00E020D0" w:rsidP="00E020D0">
            <w:pPr>
              <w:spacing w:before="120" w:after="40"/>
              <w:rPr>
                <w:rFonts w:ascii="Fakt Pro Bln" w:hAnsi="Fakt Pro Bln" w:cs="Circular Std Book"/>
                <w:noProof/>
                <w:sz w:val="22"/>
                <w:szCs w:val="22"/>
              </w:rPr>
            </w:pPr>
          </w:p>
          <w:p w14:paraId="5A2A289E" w14:textId="77777777" w:rsidR="00E020D0" w:rsidRPr="00E020D0" w:rsidRDefault="00E020D0" w:rsidP="00E020D0">
            <w:pPr>
              <w:spacing w:before="120" w:after="40"/>
              <w:rPr>
                <w:rFonts w:ascii="Fakt Pro Bln" w:hAnsi="Fakt Pro Bln" w:cs="Circular Std Book"/>
                <w:noProof/>
                <w:sz w:val="22"/>
                <w:szCs w:val="22"/>
              </w:rPr>
            </w:pPr>
            <w:r w:rsidRPr="00E020D0">
              <w:rPr>
                <w:rFonts w:ascii="Fakt Pro Bln" w:hAnsi="Fakt Pro Bln" w:cs="Circular Std Book"/>
                <w:noProof/>
                <w:sz w:val="22"/>
                <w:szCs w:val="22"/>
              </w:rPr>
              <w:t xml:space="preserve">City dwellers and urban designers alike seek more public space be allocated to people, and facilities for people on bikes need space if they are to be separated where possible from pedestrians and traffic. For those not living in the city centre, travel growth strategy seeks many more trips to be made by public transport and active modes. </w:t>
            </w:r>
          </w:p>
          <w:p w14:paraId="37C73894" w14:textId="331479E4" w:rsidR="00657112" w:rsidRPr="00141C3F" w:rsidRDefault="00E020D0" w:rsidP="00E020D0">
            <w:pPr>
              <w:spacing w:before="120" w:after="40"/>
              <w:rPr>
                <w:rFonts w:ascii="Fakt Pro Bln" w:hAnsi="Fakt Pro Bln" w:cs="Circular Std Book"/>
              </w:rPr>
            </w:pPr>
            <w:r w:rsidRPr="00E020D0">
              <w:rPr>
                <w:rFonts w:ascii="Fakt Pro Bln" w:hAnsi="Fakt Pro Bln" w:cs="Circular Std Book"/>
                <w:noProof/>
                <w:sz w:val="22"/>
                <w:szCs w:val="22"/>
              </w:rPr>
              <w:t xml:space="preserve">This paper outlines the journey of designing (&amp; building) inner city cycleways for interested but concerned user groups and shares lessons learnt across various stages of project </w:t>
            </w:r>
            <w:r>
              <w:rPr>
                <w:rFonts w:ascii="Fakt Pro Bln" w:hAnsi="Fakt Pro Bln" w:cs="Circular Std Book"/>
                <w:noProof/>
                <w:sz w:val="22"/>
                <w:szCs w:val="22"/>
              </w:rPr>
              <w:t xml:space="preserve">and programme </w:t>
            </w:r>
            <w:r w:rsidRPr="00E020D0">
              <w:rPr>
                <w:rFonts w:ascii="Fakt Pro Bln" w:hAnsi="Fakt Pro Bln" w:cs="Circular Std Book"/>
                <w:noProof/>
                <w:sz w:val="22"/>
                <w:szCs w:val="22"/>
              </w:rPr>
              <w:t xml:space="preserve">management. </w:t>
            </w:r>
            <w:r w:rsidR="00F44BB9">
              <w:rPr>
                <w:rFonts w:ascii="Fakt Pro Bln" w:hAnsi="Fakt Pro Bln" w:cs="Circular Std Book"/>
                <w:sz w:val="22"/>
                <w:szCs w:val="22"/>
              </w:rPr>
              <w:fldChar w:fldCharType="end"/>
            </w:r>
          </w:p>
        </w:tc>
      </w:tr>
    </w:tbl>
    <w:p w14:paraId="5270E60E" w14:textId="77777777"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BF06A" w14:textId="77777777" w:rsidR="00094515" w:rsidRDefault="00094515">
      <w:r>
        <w:separator/>
      </w:r>
    </w:p>
  </w:endnote>
  <w:endnote w:type="continuationSeparator" w:id="0">
    <w:p w14:paraId="71055D1C"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E38CD"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5735F7A6"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C363A" w14:textId="77777777" w:rsidR="00094515" w:rsidRDefault="00094515" w:rsidP="00973ADB">
    <w:pPr>
      <w:pStyle w:val="Footer"/>
      <w:ind w:left="-851" w:right="-851"/>
      <w:jc w:val="center"/>
    </w:pPr>
    <w:r>
      <w:rPr>
        <w:noProof/>
        <w:lang w:val="en-NZ" w:eastAsia="en-NZ"/>
      </w:rPr>
      <w:drawing>
        <wp:inline distT="0" distB="0" distL="0" distR="0" wp14:anchorId="4D915248" wp14:editId="5B0E68C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6971A" w14:textId="77777777" w:rsidR="00094515" w:rsidRDefault="00094515">
      <w:r>
        <w:separator/>
      </w:r>
    </w:p>
  </w:footnote>
  <w:footnote w:type="continuationSeparator" w:id="0">
    <w:p w14:paraId="610C2F97"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C1D2" w14:textId="77777777"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1BD3266B" wp14:editId="0E75858E">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pt;height:82pt" o:bullet="t">
        <v:imagedata r:id="rId1" o:title="Bullet Point"/>
      </v:shape>
    </w:pict>
  </w:numPicBullet>
  <w:numPicBullet w:numPicBulletId="1">
    <w:pict>
      <v:shape id="_x0000_i1027" type="#_x0000_t75" style="width:176.5pt;height:170.5pt" o:bullet="t">
        <v:imagedata r:id="rId2" o:title="Conf-Icon"/>
      </v:shape>
    </w:pict>
  </w:numPicBullet>
  <w:numPicBullet w:numPicBulletId="2">
    <w:pict>
      <v:shape id="_x0000_i1028" type="#_x0000_t75" style="width:151.5pt;height:145pt" o:bullet="t">
        <v:imagedata r:id="rId3" o:title="Conf-Icon"/>
      </v:shape>
    </w:pict>
  </w:numPicBullet>
  <w:numPicBullet w:numPicBulletId="3">
    <w:pict>
      <v:shape id="_x0000_i1029" type="#_x0000_t75" style="width:122.5pt;height:111pt" o:bullet="t">
        <v:imagedata r:id="rId4" o:title="Bullet Point"/>
      </v:shape>
    </w:pict>
  </w:numPicBullet>
  <w:numPicBullet w:numPicBulletId="4">
    <w:pict>
      <v:shape id="_x0000_i1030" type="#_x0000_t75" style="width:109.5pt;height:107.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01"/>
    <w:rsid w:val="00424CC0"/>
    <w:rsid w:val="00426508"/>
    <w:rsid w:val="00442674"/>
    <w:rsid w:val="00451684"/>
    <w:rsid w:val="004529D4"/>
    <w:rsid w:val="00455673"/>
    <w:rsid w:val="00457E30"/>
    <w:rsid w:val="0047542F"/>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863D1"/>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020D0"/>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5E38BE"/>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519CB-64AC-4929-B762-30A191F6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2215</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Graeme Bean (AT)</cp:lastModifiedBy>
  <cp:revision>5</cp:revision>
  <cp:lastPrinted>2017-09-24T23:53:00Z</cp:lastPrinted>
  <dcterms:created xsi:type="dcterms:W3CDTF">2017-10-09T02:42:00Z</dcterms:created>
  <dcterms:modified xsi:type="dcterms:W3CDTF">2017-10-09T04:42:00Z</dcterms:modified>
</cp:coreProperties>
</file>