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B0C" w14:textId="18D4A032" w:rsidR="00714297" w:rsidRPr="00F37C39" w:rsidRDefault="000133C9"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Active Modes, Supercharging Health</w:t>
      </w:r>
      <w:r w:rsidR="00C93D31" w:rsidRPr="00F37C39">
        <w:rPr>
          <w:rFonts w:ascii="Circular Std Book" w:hAnsi="Circular Std Book" w:cs="Circular Std Book"/>
          <w:bCs w:val="0"/>
          <w:color w:val="008A55"/>
          <w:sz w:val="36"/>
          <w:szCs w:val="36"/>
          <w:lang w:val="en-NZ" w:eastAsia="en-NZ"/>
        </w:rPr>
        <w:t xml:space="preserve"> (limited to 6 words)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09EE54A4"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 xml:space="preserve">The health benefits framework was first brought into the New Zealand transport economic evaluation framework in 2002 under the then </w:t>
            </w:r>
            <w:proofErr w:type="spellStart"/>
            <w:r w:rsidRPr="006B75D2">
              <w:rPr>
                <w:rFonts w:ascii="Graphik Regular" w:hAnsi="Graphik Regular" w:cs="Circular Std Book"/>
                <w:bCs/>
                <w:sz w:val="22"/>
                <w:szCs w:val="22"/>
              </w:rPr>
              <w:t>Transfund</w:t>
            </w:r>
            <w:proofErr w:type="spellEnd"/>
            <w:r w:rsidRPr="006B75D2">
              <w:rPr>
                <w:rFonts w:ascii="Graphik Regular" w:hAnsi="Graphik Regular" w:cs="Circular Std Book"/>
                <w:bCs/>
                <w:sz w:val="22"/>
                <w:szCs w:val="22"/>
              </w:rPr>
              <w:t xml:space="preserve"> Project Evaluation Manual.  Further work, carried out in 2007 and 2008, formed the basis of health benefit values currently adopted in the Economic Evaluation Manual (EEM). </w:t>
            </w:r>
          </w:p>
          <w:p w14:paraId="1731DBB1" w14:textId="77777777" w:rsidR="006B75D2" w:rsidRPr="006B75D2" w:rsidRDefault="006B75D2" w:rsidP="006B75D2">
            <w:pPr>
              <w:rPr>
                <w:rFonts w:ascii="Graphik Regular" w:hAnsi="Graphik Regular" w:cs="Circular Std Book"/>
                <w:bCs/>
                <w:sz w:val="22"/>
                <w:szCs w:val="22"/>
              </w:rPr>
            </w:pPr>
          </w:p>
          <w:p w14:paraId="6EC5CD0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 xml:space="preserve">Since the last iteration of the EEM, there has been an emergence and observed uptake of electric assisted modes such as electric bicycles and electric scooters within New Zealand. As such, a review of the health benefit framework was undertaken in late 2019 to review the valuation of the health benefits, as well as assess if health benefits can be attributed to any of the emerging electric assisted modes.  </w:t>
            </w:r>
          </w:p>
          <w:p w14:paraId="35582498" w14:textId="77777777" w:rsidR="006B75D2" w:rsidRPr="006B75D2" w:rsidRDefault="006B75D2" w:rsidP="006B75D2">
            <w:pPr>
              <w:rPr>
                <w:rFonts w:ascii="Graphik Regular" w:hAnsi="Graphik Regular" w:cs="Circular Std Book"/>
                <w:bCs/>
                <w:sz w:val="22"/>
                <w:szCs w:val="22"/>
              </w:rPr>
            </w:pPr>
          </w:p>
          <w:p w14:paraId="1180AFF7"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This conference paper will broadly present the findings of the review, which includes findings on:</w:t>
            </w:r>
          </w:p>
          <w:p w14:paraId="10EB5AE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health linkages to physical activity, </w:t>
            </w:r>
          </w:p>
          <w:p w14:paraId="300BA816"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physical activity requirements, </w:t>
            </w:r>
          </w:p>
          <w:p w14:paraId="4A3C2F1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New Zealand population’s health status, </w:t>
            </w:r>
          </w:p>
          <w:p w14:paraId="01E7F3DB"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linkage between transport mode and physical activity, </w:t>
            </w:r>
          </w:p>
          <w:p w14:paraId="3A82D241" w14:textId="77777777" w:rsidR="006B75D2" w:rsidRPr="006B75D2" w:rsidRDefault="006B75D2" w:rsidP="006B75D2">
            <w:pPr>
              <w:rPr>
                <w:rFonts w:ascii="Graphik Regular" w:hAnsi="Graphik Regular" w:cs="Circular Std Book"/>
                <w:bCs/>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trends such as user, technological and growth trends, and </w:t>
            </w:r>
          </w:p>
          <w:p w14:paraId="2ACCD1EC" w14:textId="47C8DC36" w:rsidR="006B75D2" w:rsidRPr="00AC2F42" w:rsidRDefault="006B75D2" w:rsidP="006B75D2">
            <w:pPr>
              <w:rPr>
                <w:rFonts w:ascii="Graphik Regular" w:hAnsi="Graphik Regular" w:cs="Circular Std Book"/>
                <w:sz w:val="22"/>
                <w:szCs w:val="22"/>
              </w:rPr>
            </w:pPr>
            <w:r w:rsidRPr="006B75D2">
              <w:rPr>
                <w:rFonts w:ascii="Graphik Regular" w:hAnsi="Graphik Regular" w:cs="Circular Std Book"/>
                <w:bCs/>
                <w:sz w:val="22"/>
                <w:szCs w:val="22"/>
              </w:rPr>
              <w:t>•</w:t>
            </w:r>
            <w:r w:rsidRPr="006B75D2">
              <w:rPr>
                <w:rFonts w:ascii="Graphik Regular" w:hAnsi="Graphik Regular" w:cs="Circular Std Book"/>
                <w:bCs/>
                <w:sz w:val="22"/>
                <w:szCs w:val="22"/>
              </w:rPr>
              <w:tab/>
              <w:t xml:space="preserve">how broadly these are used in estimation and valuation of the health benefits for use in project evaluation. </w:t>
            </w:r>
          </w:p>
        </w:tc>
      </w:tr>
    </w:tbl>
    <w:p w14:paraId="5FBDBD50" w14:textId="2CA166E6" w:rsidR="00BE3A75" w:rsidRDefault="00BE3A75" w:rsidP="00657112">
      <w:pPr>
        <w:autoSpaceDE w:val="0"/>
        <w:autoSpaceDN w:val="0"/>
        <w:adjustRightInd w:val="0"/>
        <w:rPr>
          <w:rFonts w:ascii="Fakt Pro Bln" w:hAnsi="Fakt Pro Bln" w:cs="Circular Std Book"/>
        </w:rPr>
      </w:pPr>
    </w:p>
    <w:p w14:paraId="46F5556E" w14:textId="0458AF68" w:rsidR="006B75D2" w:rsidRPr="00657112" w:rsidRDefault="006B75D2" w:rsidP="00657112">
      <w:pPr>
        <w:autoSpaceDE w:val="0"/>
        <w:autoSpaceDN w:val="0"/>
        <w:adjustRightInd w:val="0"/>
        <w:rPr>
          <w:rFonts w:ascii="Fakt Pro Bln" w:hAnsi="Fakt Pro Bln" w:cs="Circular Std Book"/>
        </w:rPr>
      </w:pPr>
    </w:p>
    <w:sectPr w:rsidR="006B75D2"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19E85" w14:textId="77777777" w:rsidR="006B75D2" w:rsidRDefault="006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B8E7" w14:textId="77777777" w:rsidR="006B75D2" w:rsidRDefault="006B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5866E7A0" w:rsidR="00F37C39" w:rsidRDefault="006B75D2">
    <w:pPr>
      <w:pStyle w:val="Header"/>
    </w:pPr>
    <w:r>
      <w:rPr>
        <w:noProof/>
      </w:rPr>
      <mc:AlternateContent>
        <mc:Choice Requires="wps">
          <w:drawing>
            <wp:anchor distT="0" distB="0" distL="114300" distR="114300" simplePos="0" relativeHeight="251660288" behindDoc="0" locked="0" layoutInCell="0" allowOverlap="1" wp14:anchorId="7ED0C57B" wp14:editId="1B468E65">
              <wp:simplePos x="0" y="0"/>
              <wp:positionH relativeFrom="page">
                <wp:posOffset>0</wp:posOffset>
              </wp:positionH>
              <wp:positionV relativeFrom="page">
                <wp:posOffset>190500</wp:posOffset>
              </wp:positionV>
              <wp:extent cx="7560310" cy="273050"/>
              <wp:effectExtent l="0" t="0" r="0" b="12700"/>
              <wp:wrapNone/>
              <wp:docPr id="4" name="MSIPCM38dc4f418578c77ea9dc8e10"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53258" w14:textId="25DE416F" w:rsidR="006B75D2" w:rsidRPr="006B75D2" w:rsidRDefault="006B75D2" w:rsidP="006B75D2">
                          <w:pPr>
                            <w:rPr>
                              <w:rFonts w:ascii="Calibri" w:hAnsi="Calibri" w:cs="Calibri"/>
                              <w:color w:val="000000"/>
                              <w:sz w:val="16"/>
                            </w:rPr>
                          </w:pPr>
                          <w:r w:rsidRPr="006B75D2">
                            <w:rPr>
                              <w:rFonts w:ascii="Calibri" w:hAnsi="Calibri" w:cs="Calibri"/>
                              <w:color w:val="000000"/>
                              <w:sz w:val="16"/>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D0C57B" id="_x0000_t202" coordsize="21600,21600" o:spt="202" path="m,l,21600r21600,l21600,xe">
              <v:stroke joinstyle="miter"/>
              <v:path gradientshapeok="t" o:connecttype="rect"/>
            </v:shapetype>
            <v:shape id="MSIPCM38dc4f418578c77ea9dc8e10" o:spid="_x0000_s1026" type="#_x0000_t202" alt="{&quot;HashCode&quot;:202027932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eS16nq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56E53258" w14:textId="25DE416F" w:rsidR="006B75D2" w:rsidRPr="006B75D2" w:rsidRDefault="006B75D2" w:rsidP="006B75D2">
                    <w:pPr>
                      <w:rPr>
                        <w:rFonts w:ascii="Calibri" w:hAnsi="Calibri" w:cs="Calibri"/>
                        <w:color w:val="000000"/>
                        <w:sz w:val="16"/>
                      </w:rPr>
                    </w:pPr>
                    <w:r w:rsidRPr="006B75D2">
                      <w:rPr>
                        <w:rFonts w:ascii="Calibri" w:hAnsi="Calibri" w:cs="Calibri"/>
                        <w:color w:val="000000"/>
                        <w:sz w:val="16"/>
                      </w:rPr>
                      <w:t>Sensitivity: General</w:t>
                    </w:r>
                  </w:p>
                </w:txbxContent>
              </v:textbox>
              <w10:wrap anchorx="page" anchory="page"/>
            </v:shape>
          </w:pict>
        </mc:Fallback>
      </mc:AlternateContent>
    </w:r>
    <w:r w:rsidR="00F37C39">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148F" w14:textId="77777777" w:rsidR="006B75D2" w:rsidRDefault="006B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133C9"/>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333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0795"/>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B75D2"/>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26357"/>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1F0CF-3C5D-4144-9626-DC02664A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1235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2021-03-11T21:41:00Z</dcterms:created>
  <dcterms:modified xsi:type="dcterms:W3CDTF">2021-03-11T21:41:00Z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2020-10-20T03:41:17Z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0f4031ba-ad5b-42dd-8c34-dbd024fbbb5b</vt:lpwstr>
  </property>
  <property fmtid="{D5CDD505-2E9C-101B-9397-08002B2CF9AE}" pid="8" name="MSIP_Label_71e8007d-0344-4ee5-bb02-8f24bdb7d471_ContentBits">
    <vt:lpwstr>1</vt:lpwstr>
  </property>
</Properties>
</file>