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7134" w14:textId="734142A3" w:rsidR="00354029" w:rsidRPr="00D35B40" w:rsidRDefault="00354029" w:rsidP="00354029">
      <w:pPr>
        <w:pStyle w:val="Heading1"/>
        <w:keepNext w:val="0"/>
        <w:spacing w:before="0" w:after="0"/>
        <w:rPr>
          <w:rFonts w:ascii="Circular Std Book" w:hAnsi="Circular Std Book" w:cs="Circular Std Book"/>
          <w:bCs w:val="0"/>
          <w:color w:val="00ABB6"/>
          <w:sz w:val="36"/>
          <w:szCs w:val="36"/>
          <w:lang w:val="en-NZ" w:eastAsia="en-NZ"/>
        </w:rPr>
      </w:pPr>
      <w:r w:rsidRPr="0052225F">
        <w:rPr>
          <w:rFonts w:ascii="Circular Std Book" w:hAnsi="Circular Std Book" w:cs="Circular Std Book"/>
          <w:bCs w:val="0"/>
          <w:color w:val="00ABB6"/>
          <w:sz w:val="36"/>
          <w:szCs w:val="36"/>
          <w:lang w:val="en-NZ" w:eastAsia="en-NZ"/>
        </w:rPr>
        <w:t>Manaaki Tāngata</w:t>
      </w:r>
      <w:r>
        <w:rPr>
          <w:rFonts w:ascii="Circular Std Book" w:hAnsi="Circular Std Book" w:cs="Circular Std Book"/>
          <w:bCs w:val="0"/>
          <w:color w:val="00ABB6"/>
          <w:sz w:val="36"/>
          <w:szCs w:val="36"/>
          <w:lang w:val="en-NZ" w:eastAsia="en-NZ"/>
        </w:rPr>
        <w:t xml:space="preserve"> – Its importance in Disruptions Management </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7839369B" w14:textId="77777777" w:rsidR="00354029" w:rsidRDefault="00354029" w:rsidP="00354029">
            <w:pPr>
              <w:rPr>
                <w:rFonts w:cstheme="minorHAnsi"/>
                <w:lang w:val="en-US"/>
              </w:rPr>
            </w:pPr>
            <w:r w:rsidRPr="00E93BF9">
              <w:rPr>
                <w:rFonts w:cstheme="minorHAnsi"/>
                <w:lang w:val="en-US"/>
              </w:rPr>
              <w:t xml:space="preserve">As Aotearoa </w:t>
            </w:r>
            <w:r>
              <w:rPr>
                <w:rFonts w:cstheme="minorHAnsi"/>
                <w:lang w:val="en-US"/>
              </w:rPr>
              <w:t xml:space="preserve">faces the disruptive challenges of climate change and rapid growth </w:t>
            </w:r>
            <w:r w:rsidRPr="00E93BF9">
              <w:rPr>
                <w:rFonts w:cstheme="minorHAnsi"/>
                <w:lang w:val="en-US"/>
              </w:rPr>
              <w:t xml:space="preserve">an increasing </w:t>
            </w:r>
            <w:r>
              <w:rPr>
                <w:rFonts w:cstheme="minorHAnsi"/>
                <w:lang w:val="en-US"/>
              </w:rPr>
              <w:t xml:space="preserve">number </w:t>
            </w:r>
            <w:r w:rsidRPr="00E93BF9">
              <w:rPr>
                <w:rFonts w:cstheme="minorHAnsi"/>
                <w:lang w:val="en-US"/>
              </w:rPr>
              <w:t xml:space="preserve">of </w:t>
            </w:r>
            <w:r>
              <w:rPr>
                <w:rFonts w:cstheme="minorHAnsi"/>
                <w:lang w:val="en-US"/>
              </w:rPr>
              <w:t>mass rapid transport infrastructure projects will be required. While crucial to ensuring equitable access, the construction of such infrastructure will itself be significantly disruptive. The rate of change involved is on a scale not previously experienced in Aotearoa. To face these challenges, we need well planned disruptions management to care for the affected communities.</w:t>
            </w:r>
          </w:p>
          <w:p w14:paraId="45F0D00B" w14:textId="77777777" w:rsidR="00354029" w:rsidRDefault="00354029" w:rsidP="00354029">
            <w:pPr>
              <w:rPr>
                <w:rFonts w:cstheme="minorHAnsi"/>
                <w:lang w:val="en-US"/>
              </w:rPr>
            </w:pPr>
          </w:p>
          <w:p w14:paraId="426A1A07" w14:textId="2689D2B1" w:rsidR="00354029" w:rsidRDefault="00354029" w:rsidP="00354029">
            <w:pPr>
              <w:rPr>
                <w:rFonts w:cstheme="minorHAnsi"/>
              </w:rPr>
            </w:pPr>
            <w:r w:rsidRPr="00E93BF9">
              <w:rPr>
                <w:rFonts w:cstheme="minorHAnsi"/>
              </w:rPr>
              <w:t xml:space="preserve">To date, </w:t>
            </w:r>
            <w:r>
              <w:rPr>
                <w:rFonts w:cstheme="minorHAnsi"/>
              </w:rPr>
              <w:t xml:space="preserve">large scale transport </w:t>
            </w:r>
            <w:r w:rsidRPr="00E93BF9">
              <w:rPr>
                <w:rFonts w:cstheme="minorHAnsi"/>
              </w:rPr>
              <w:t xml:space="preserve">projects have typically </w:t>
            </w:r>
            <w:r>
              <w:rPr>
                <w:rFonts w:cstheme="minorHAnsi"/>
              </w:rPr>
              <w:t>involved</w:t>
            </w:r>
            <w:r w:rsidRPr="00E93BF9">
              <w:rPr>
                <w:rFonts w:cstheme="minorHAnsi"/>
              </w:rPr>
              <w:t xml:space="preserve"> motorways in greenfield areas</w:t>
            </w:r>
            <w:r>
              <w:rPr>
                <w:rFonts w:cstheme="minorHAnsi"/>
              </w:rPr>
              <w:t xml:space="preserve">. Future mass rapid transit projects are likely to </w:t>
            </w:r>
            <w:r w:rsidR="009D156B">
              <w:rPr>
                <w:rFonts w:cstheme="minorHAnsi"/>
              </w:rPr>
              <w:t xml:space="preserve">be </w:t>
            </w:r>
            <w:r>
              <w:rPr>
                <w:rFonts w:cstheme="minorHAnsi"/>
              </w:rPr>
              <w:t>constructed in</w:t>
            </w:r>
            <w:r w:rsidRPr="00E93BF9">
              <w:rPr>
                <w:rFonts w:cstheme="minorHAnsi"/>
              </w:rPr>
              <w:t xml:space="preserve"> higher density urban environments</w:t>
            </w:r>
            <w:r>
              <w:rPr>
                <w:rFonts w:cstheme="minorHAnsi"/>
              </w:rPr>
              <w:t>, so w</w:t>
            </w:r>
            <w:r w:rsidRPr="00E93BF9">
              <w:rPr>
                <w:rFonts w:cstheme="minorHAnsi"/>
              </w:rPr>
              <w:t xml:space="preserve">e </w:t>
            </w:r>
            <w:r>
              <w:rPr>
                <w:rFonts w:cstheme="minorHAnsi"/>
              </w:rPr>
              <w:t xml:space="preserve">need to </w:t>
            </w:r>
            <w:r w:rsidRPr="00E93BF9">
              <w:rPr>
                <w:rFonts w:cstheme="minorHAnsi"/>
              </w:rPr>
              <w:t xml:space="preserve">be </w:t>
            </w:r>
            <w:r>
              <w:rPr>
                <w:rFonts w:cstheme="minorHAnsi"/>
              </w:rPr>
              <w:t>increasingly</w:t>
            </w:r>
            <w:r w:rsidRPr="00E93BF9">
              <w:rPr>
                <w:rFonts w:cstheme="minorHAnsi"/>
              </w:rPr>
              <w:t xml:space="preserve"> </w:t>
            </w:r>
            <w:r>
              <w:rPr>
                <w:rFonts w:cstheme="minorHAnsi"/>
              </w:rPr>
              <w:t xml:space="preserve">innovative in how we manage </w:t>
            </w:r>
            <w:r w:rsidRPr="00E76F10">
              <w:rPr>
                <w:rFonts w:cstheme="minorHAnsi"/>
              </w:rPr>
              <w:t xml:space="preserve">the </w:t>
            </w:r>
            <w:r>
              <w:t xml:space="preserve">taha </w:t>
            </w:r>
            <w:proofErr w:type="spellStart"/>
            <w:r>
              <w:t>hinengaro</w:t>
            </w:r>
            <w:proofErr w:type="spellEnd"/>
            <w:r w:rsidRPr="00E76F10">
              <w:t xml:space="preserve"> of</w:t>
            </w:r>
            <w:r>
              <w:t xml:space="preserve"> affected communities.</w:t>
            </w:r>
            <w:r>
              <w:rPr>
                <w:rFonts w:cstheme="minorHAnsi"/>
              </w:rPr>
              <w:t xml:space="preserve"> </w:t>
            </w:r>
          </w:p>
          <w:p w14:paraId="7B7544D3" w14:textId="77777777" w:rsidR="00354029" w:rsidRDefault="00354029" w:rsidP="00354029">
            <w:pPr>
              <w:rPr>
                <w:rFonts w:cstheme="minorHAnsi"/>
              </w:rPr>
            </w:pPr>
          </w:p>
          <w:p w14:paraId="5CDE3B07" w14:textId="58D73E74" w:rsidR="00354029" w:rsidRDefault="00354029" w:rsidP="00354029">
            <w:pPr>
              <w:rPr>
                <w:rFonts w:cstheme="minorHAnsi"/>
              </w:rPr>
            </w:pPr>
            <w:r w:rsidRPr="00E93BF9">
              <w:rPr>
                <w:rFonts w:cstheme="minorHAnsi"/>
              </w:rPr>
              <w:t>We've got to get better at having conversation</w:t>
            </w:r>
            <w:r>
              <w:rPr>
                <w:rFonts w:cstheme="minorHAnsi"/>
              </w:rPr>
              <w:t>s</w:t>
            </w:r>
            <w:r w:rsidRPr="00E93BF9">
              <w:rPr>
                <w:rFonts w:cstheme="minorHAnsi"/>
              </w:rPr>
              <w:t xml:space="preserve"> about how to mitigate </w:t>
            </w:r>
            <w:r w:rsidR="009D156B">
              <w:rPr>
                <w:rFonts w:cstheme="minorHAnsi"/>
              </w:rPr>
              <w:t>disruptive</w:t>
            </w:r>
            <w:r w:rsidRPr="00E93BF9">
              <w:rPr>
                <w:rFonts w:cstheme="minorHAnsi"/>
              </w:rPr>
              <w:t xml:space="preserve"> effects </w:t>
            </w:r>
            <w:r>
              <w:rPr>
                <w:rFonts w:cstheme="minorHAnsi"/>
              </w:rPr>
              <w:t>of construction, and more honest about the scale</w:t>
            </w:r>
            <w:r w:rsidR="009D156B">
              <w:rPr>
                <w:rFonts w:cstheme="minorHAnsi"/>
              </w:rPr>
              <w:t xml:space="preserve">, </w:t>
            </w:r>
            <w:r>
              <w:rPr>
                <w:rFonts w:cstheme="minorHAnsi"/>
              </w:rPr>
              <w:t>impacts</w:t>
            </w:r>
            <w:r w:rsidR="009D156B">
              <w:rPr>
                <w:rFonts w:cstheme="minorHAnsi"/>
              </w:rPr>
              <w:t xml:space="preserve"> and costs</w:t>
            </w:r>
            <w:r>
              <w:rPr>
                <w:rFonts w:cstheme="minorHAnsi"/>
              </w:rPr>
              <w:t xml:space="preserve"> of those effects</w:t>
            </w:r>
            <w:r w:rsidRPr="00E93BF9">
              <w:rPr>
                <w:rFonts w:cstheme="minorHAnsi"/>
              </w:rPr>
              <w:t xml:space="preserve">. </w:t>
            </w:r>
            <w:r>
              <w:rPr>
                <w:rFonts w:cstheme="minorHAnsi"/>
              </w:rPr>
              <w:t>A key lesson from both overseas projects and the City Rail Link (CRL) is that constant attempts to minimise disruption can in fact have the opposite effect.</w:t>
            </w:r>
          </w:p>
          <w:p w14:paraId="548B566E" w14:textId="77777777" w:rsidR="00354029" w:rsidRDefault="00354029" w:rsidP="00354029">
            <w:pPr>
              <w:rPr>
                <w:rFonts w:cstheme="minorHAnsi"/>
              </w:rPr>
            </w:pPr>
          </w:p>
          <w:p w14:paraId="007FA078" w14:textId="77777777" w:rsidR="00354029" w:rsidRDefault="00354029" w:rsidP="00354029">
            <w:pPr>
              <w:rPr>
                <w:rFonts w:cstheme="minorHAnsi"/>
                <w:lang w:val="en-US"/>
              </w:rPr>
            </w:pPr>
            <w:r>
              <w:rPr>
                <w:rFonts w:cstheme="minorHAnsi"/>
                <w:lang w:val="en-US"/>
              </w:rPr>
              <w:t>In this think piece, based on my experience of being part of the team managing the CRL disruptions, I suggest three guiding principles for planned disruptions management:</w:t>
            </w:r>
          </w:p>
          <w:p w14:paraId="3B3BBB4A" w14:textId="77777777" w:rsidR="00354029" w:rsidRDefault="00354029" w:rsidP="00354029">
            <w:pPr>
              <w:pStyle w:val="ListParagraph"/>
              <w:numPr>
                <w:ilvl w:val="0"/>
                <w:numId w:val="32"/>
              </w:numPr>
              <w:spacing w:after="0" w:line="240" w:lineRule="auto"/>
              <w:rPr>
                <w:rFonts w:ascii="Comic Sans MS" w:eastAsia="MS Mincho" w:hAnsi="Comic Sans MS" w:cstheme="minorHAnsi"/>
                <w:sz w:val="24"/>
                <w:szCs w:val="24"/>
                <w:lang w:val="en-US" w:eastAsia="ja-JP"/>
              </w:rPr>
            </w:pPr>
            <w:r w:rsidRPr="00D72DDD">
              <w:rPr>
                <w:rFonts w:ascii="Comic Sans MS" w:eastAsia="MS Mincho" w:hAnsi="Comic Sans MS" w:cstheme="minorHAnsi"/>
                <w:sz w:val="24"/>
                <w:szCs w:val="24"/>
                <w:lang w:val="en-US" w:eastAsia="ja-JP"/>
              </w:rPr>
              <w:t xml:space="preserve">Communication - Honest </w:t>
            </w:r>
            <w:r>
              <w:rPr>
                <w:rFonts w:ascii="Comic Sans MS" w:eastAsia="MS Mincho" w:hAnsi="Comic Sans MS" w:cstheme="minorHAnsi"/>
                <w:sz w:val="24"/>
                <w:szCs w:val="24"/>
                <w:lang w:val="en-US" w:eastAsia="ja-JP"/>
              </w:rPr>
              <w:t xml:space="preserve">on-going </w:t>
            </w:r>
            <w:r w:rsidRPr="00D72DDD">
              <w:rPr>
                <w:rFonts w:ascii="Comic Sans MS" w:eastAsia="MS Mincho" w:hAnsi="Comic Sans MS" w:cstheme="minorHAnsi"/>
                <w:sz w:val="24"/>
                <w:szCs w:val="24"/>
                <w:lang w:val="en-US" w:eastAsia="ja-JP"/>
              </w:rPr>
              <w:t xml:space="preserve">communication with </w:t>
            </w:r>
            <w:r>
              <w:rPr>
                <w:rFonts w:ascii="Comic Sans MS" w:eastAsia="MS Mincho" w:hAnsi="Comic Sans MS" w:cstheme="minorHAnsi"/>
                <w:sz w:val="24"/>
                <w:szCs w:val="24"/>
                <w:lang w:val="en-US" w:eastAsia="ja-JP"/>
              </w:rPr>
              <w:t xml:space="preserve">affected communities </w:t>
            </w:r>
            <w:r w:rsidRPr="00D72DDD">
              <w:rPr>
                <w:rFonts w:ascii="Comic Sans MS" w:eastAsia="MS Mincho" w:hAnsi="Comic Sans MS" w:cstheme="minorHAnsi"/>
                <w:sz w:val="24"/>
                <w:szCs w:val="24"/>
                <w:lang w:val="en-US" w:eastAsia="ja-JP"/>
              </w:rPr>
              <w:t>is crucial, giv</w:t>
            </w:r>
            <w:r>
              <w:rPr>
                <w:rFonts w:ascii="Comic Sans MS" w:eastAsia="MS Mincho" w:hAnsi="Comic Sans MS" w:cstheme="minorHAnsi"/>
                <w:sz w:val="24"/>
                <w:szCs w:val="24"/>
                <w:lang w:val="en-US" w:eastAsia="ja-JP"/>
              </w:rPr>
              <w:t>ing</w:t>
            </w:r>
            <w:r w:rsidRPr="00D72DDD">
              <w:rPr>
                <w:rFonts w:ascii="Comic Sans MS" w:eastAsia="MS Mincho" w:hAnsi="Comic Sans MS" w:cstheme="minorHAnsi"/>
                <w:sz w:val="24"/>
                <w:szCs w:val="24"/>
                <w:lang w:val="en-US" w:eastAsia="ja-JP"/>
              </w:rPr>
              <w:t xml:space="preserve"> them choices about what they can or can't do and provid</w:t>
            </w:r>
            <w:r>
              <w:rPr>
                <w:rFonts w:ascii="Comic Sans MS" w:eastAsia="MS Mincho" w:hAnsi="Comic Sans MS" w:cstheme="minorHAnsi"/>
                <w:sz w:val="24"/>
                <w:szCs w:val="24"/>
                <w:lang w:val="en-US" w:eastAsia="ja-JP"/>
              </w:rPr>
              <w:t>ing</w:t>
            </w:r>
            <w:r w:rsidRPr="00D72DDD">
              <w:rPr>
                <w:rFonts w:ascii="Comic Sans MS" w:eastAsia="MS Mincho" w:hAnsi="Comic Sans MS" w:cstheme="minorHAnsi"/>
                <w:sz w:val="24"/>
                <w:szCs w:val="24"/>
                <w:lang w:val="en-US" w:eastAsia="ja-JP"/>
              </w:rPr>
              <w:t xml:space="preserve"> the opportunity for </w:t>
            </w:r>
            <w:r>
              <w:rPr>
                <w:rFonts w:ascii="Comic Sans MS" w:eastAsia="MS Mincho" w:hAnsi="Comic Sans MS" w:cstheme="minorHAnsi"/>
                <w:sz w:val="24"/>
                <w:szCs w:val="24"/>
                <w:lang w:val="en-US" w:eastAsia="ja-JP"/>
              </w:rPr>
              <w:t>individual and community agency</w:t>
            </w:r>
            <w:r w:rsidRPr="00D72DDD">
              <w:rPr>
                <w:rFonts w:ascii="Comic Sans MS" w:eastAsia="MS Mincho" w:hAnsi="Comic Sans MS" w:cstheme="minorHAnsi"/>
                <w:sz w:val="24"/>
                <w:szCs w:val="24"/>
                <w:lang w:val="en-US" w:eastAsia="ja-JP"/>
              </w:rPr>
              <w:t>.</w:t>
            </w:r>
          </w:p>
          <w:p w14:paraId="7D8CD95A" w14:textId="77777777" w:rsidR="00354029" w:rsidRPr="00D72DDD" w:rsidRDefault="00354029" w:rsidP="00354029">
            <w:pPr>
              <w:pStyle w:val="ListParagraph"/>
              <w:spacing w:after="0" w:line="240" w:lineRule="auto"/>
              <w:rPr>
                <w:rFonts w:ascii="Comic Sans MS" w:eastAsia="MS Mincho" w:hAnsi="Comic Sans MS" w:cstheme="minorHAnsi"/>
                <w:sz w:val="24"/>
                <w:szCs w:val="24"/>
                <w:lang w:val="en-US" w:eastAsia="ja-JP"/>
              </w:rPr>
            </w:pPr>
          </w:p>
          <w:p w14:paraId="1F7B4457" w14:textId="77777777" w:rsidR="00354029" w:rsidRDefault="00354029" w:rsidP="00354029">
            <w:pPr>
              <w:pStyle w:val="ListParagraph"/>
              <w:numPr>
                <w:ilvl w:val="0"/>
                <w:numId w:val="32"/>
              </w:numPr>
              <w:spacing w:after="0" w:line="240" w:lineRule="auto"/>
              <w:rPr>
                <w:rFonts w:ascii="Comic Sans MS" w:eastAsia="MS Mincho" w:hAnsi="Comic Sans MS" w:cstheme="minorHAnsi"/>
                <w:sz w:val="24"/>
                <w:szCs w:val="24"/>
                <w:lang w:val="en-US" w:eastAsia="ja-JP"/>
              </w:rPr>
            </w:pPr>
            <w:r w:rsidRPr="00D72DDD">
              <w:rPr>
                <w:rFonts w:ascii="Comic Sans MS" w:eastAsia="MS Mincho" w:hAnsi="Comic Sans MS" w:cstheme="minorHAnsi"/>
                <w:sz w:val="24"/>
                <w:szCs w:val="24"/>
                <w:lang w:val="en-US" w:eastAsia="ja-JP"/>
              </w:rPr>
              <w:t xml:space="preserve">Opportunity - disruptions provide an opportunity to try new things and to accelerate change. </w:t>
            </w:r>
            <w:r>
              <w:rPr>
                <w:rFonts w:ascii="Comic Sans MS" w:eastAsia="MS Mincho" w:hAnsi="Comic Sans MS" w:cstheme="minorHAnsi"/>
                <w:sz w:val="24"/>
                <w:szCs w:val="24"/>
                <w:lang w:val="en-US" w:eastAsia="ja-JP"/>
              </w:rPr>
              <w:t xml:space="preserve">Community ownership of these opportunities can be powerful. </w:t>
            </w:r>
            <w:r w:rsidRPr="00D72DDD">
              <w:rPr>
                <w:rFonts w:ascii="Comic Sans MS" w:eastAsia="MS Mincho" w:hAnsi="Comic Sans MS" w:cstheme="minorHAnsi"/>
                <w:sz w:val="24"/>
                <w:szCs w:val="24"/>
                <w:lang w:val="en-US" w:eastAsia="ja-JP"/>
              </w:rPr>
              <w:t>Let's not squander that chance.</w:t>
            </w:r>
          </w:p>
          <w:p w14:paraId="56F96DC9" w14:textId="77777777" w:rsidR="00354029" w:rsidRPr="00D72DDD" w:rsidRDefault="00354029" w:rsidP="00354029">
            <w:pPr>
              <w:pStyle w:val="ListParagraph"/>
              <w:spacing w:after="0" w:line="240" w:lineRule="auto"/>
              <w:rPr>
                <w:rFonts w:ascii="Comic Sans MS" w:eastAsia="MS Mincho" w:hAnsi="Comic Sans MS" w:cstheme="minorHAnsi"/>
                <w:sz w:val="24"/>
                <w:szCs w:val="24"/>
                <w:lang w:val="en-US" w:eastAsia="ja-JP"/>
              </w:rPr>
            </w:pPr>
          </w:p>
          <w:p w14:paraId="39F589FE" w14:textId="5483C919" w:rsidR="00354029" w:rsidRPr="00D72DDD" w:rsidRDefault="00354029" w:rsidP="00354029">
            <w:pPr>
              <w:pStyle w:val="ListParagraph"/>
              <w:numPr>
                <w:ilvl w:val="0"/>
                <w:numId w:val="32"/>
              </w:numPr>
              <w:spacing w:after="0" w:line="240" w:lineRule="auto"/>
              <w:rPr>
                <w:rFonts w:ascii="Comic Sans MS" w:eastAsia="MS Mincho" w:hAnsi="Comic Sans MS" w:cstheme="minorHAnsi"/>
                <w:sz w:val="24"/>
                <w:szCs w:val="24"/>
                <w:lang w:val="en-US" w:eastAsia="ja-JP"/>
              </w:rPr>
            </w:pPr>
            <w:r w:rsidRPr="00D72DDD">
              <w:rPr>
                <w:rFonts w:ascii="Comic Sans MS" w:eastAsia="MS Mincho" w:hAnsi="Comic Sans MS" w:cstheme="minorHAnsi"/>
                <w:sz w:val="24"/>
                <w:szCs w:val="24"/>
                <w:lang w:val="en-US" w:eastAsia="ja-JP"/>
              </w:rPr>
              <w:t>Sufficient Planning – Careful planning of how to</w:t>
            </w:r>
            <w:r w:rsidR="009D156B">
              <w:rPr>
                <w:rFonts w:ascii="Comic Sans MS" w:eastAsia="MS Mincho" w:hAnsi="Comic Sans MS" w:cstheme="minorHAnsi"/>
                <w:sz w:val="24"/>
                <w:szCs w:val="24"/>
                <w:lang w:val="en-US" w:eastAsia="ja-JP"/>
              </w:rPr>
              <w:t xml:space="preserve"> ensure continuity of access</w:t>
            </w:r>
            <w:r w:rsidRPr="00D72DDD">
              <w:rPr>
                <w:rFonts w:ascii="Comic Sans MS" w:eastAsia="MS Mincho" w:hAnsi="Comic Sans MS" w:cstheme="minorHAnsi"/>
                <w:sz w:val="24"/>
                <w:szCs w:val="24"/>
                <w:lang w:val="en-US" w:eastAsia="ja-JP"/>
              </w:rPr>
              <w:t xml:space="preserve"> around </w:t>
            </w:r>
            <w:r>
              <w:rPr>
                <w:rFonts w:ascii="Comic Sans MS" w:eastAsia="MS Mincho" w:hAnsi="Comic Sans MS" w:cstheme="minorHAnsi"/>
                <w:sz w:val="24"/>
                <w:szCs w:val="24"/>
                <w:lang w:val="en-US" w:eastAsia="ja-JP"/>
              </w:rPr>
              <w:t>works</w:t>
            </w:r>
            <w:r w:rsidRPr="00D72DDD">
              <w:rPr>
                <w:rFonts w:ascii="Comic Sans MS" w:eastAsia="MS Mincho" w:hAnsi="Comic Sans MS" w:cstheme="minorHAnsi"/>
                <w:sz w:val="24"/>
                <w:szCs w:val="24"/>
                <w:lang w:val="en-US" w:eastAsia="ja-JP"/>
              </w:rPr>
              <w:t xml:space="preserve"> site</w:t>
            </w:r>
            <w:r>
              <w:rPr>
                <w:rFonts w:ascii="Comic Sans MS" w:eastAsia="MS Mincho" w:hAnsi="Comic Sans MS" w:cstheme="minorHAnsi"/>
                <w:sz w:val="24"/>
                <w:szCs w:val="24"/>
                <w:lang w:val="en-US" w:eastAsia="ja-JP"/>
              </w:rPr>
              <w:t>s</w:t>
            </w:r>
            <w:r w:rsidRPr="00D72DDD">
              <w:rPr>
                <w:rFonts w:ascii="Comic Sans MS" w:eastAsia="MS Mincho" w:hAnsi="Comic Sans MS" w:cstheme="minorHAnsi"/>
                <w:sz w:val="24"/>
                <w:szCs w:val="24"/>
                <w:lang w:val="en-US" w:eastAsia="ja-JP"/>
              </w:rPr>
              <w:t xml:space="preserve"> takes time</w:t>
            </w:r>
            <w:r>
              <w:rPr>
                <w:rFonts w:ascii="Comic Sans MS" w:eastAsia="MS Mincho" w:hAnsi="Comic Sans MS" w:cstheme="minorHAnsi"/>
                <w:sz w:val="24"/>
                <w:szCs w:val="24"/>
                <w:lang w:val="en-US" w:eastAsia="ja-JP"/>
              </w:rPr>
              <w:t>. Embracing</w:t>
            </w:r>
            <w:r w:rsidRPr="00D72DDD">
              <w:rPr>
                <w:rFonts w:ascii="Comic Sans MS" w:eastAsia="MS Mincho" w:hAnsi="Comic Sans MS" w:cstheme="minorHAnsi"/>
                <w:sz w:val="24"/>
                <w:szCs w:val="24"/>
                <w:lang w:val="en-US" w:eastAsia="ja-JP"/>
              </w:rPr>
              <w:t xml:space="preserve"> public transport, </w:t>
            </w:r>
            <w:proofErr w:type="gramStart"/>
            <w:r w:rsidRPr="00D72DDD">
              <w:rPr>
                <w:rFonts w:ascii="Comic Sans MS" w:eastAsia="MS Mincho" w:hAnsi="Comic Sans MS" w:cstheme="minorHAnsi"/>
                <w:sz w:val="24"/>
                <w:szCs w:val="24"/>
                <w:lang w:val="en-US" w:eastAsia="ja-JP"/>
              </w:rPr>
              <w:t>walking</w:t>
            </w:r>
            <w:proofErr w:type="gramEnd"/>
            <w:r w:rsidRPr="00D72DDD">
              <w:rPr>
                <w:rFonts w:ascii="Comic Sans MS" w:eastAsia="MS Mincho" w:hAnsi="Comic Sans MS" w:cstheme="minorHAnsi"/>
                <w:sz w:val="24"/>
                <w:szCs w:val="24"/>
                <w:lang w:val="en-US" w:eastAsia="ja-JP"/>
              </w:rPr>
              <w:t xml:space="preserve"> and cycling infrastructure </w:t>
            </w:r>
            <w:r>
              <w:rPr>
                <w:rFonts w:ascii="Comic Sans MS" w:eastAsia="MS Mincho" w:hAnsi="Comic Sans MS" w:cstheme="minorHAnsi"/>
                <w:sz w:val="24"/>
                <w:szCs w:val="24"/>
                <w:lang w:val="en-US" w:eastAsia="ja-JP"/>
              </w:rPr>
              <w:t>are</w:t>
            </w:r>
            <w:r w:rsidRPr="00D72DDD">
              <w:rPr>
                <w:rFonts w:ascii="Comic Sans MS" w:eastAsia="MS Mincho" w:hAnsi="Comic Sans MS" w:cstheme="minorHAnsi"/>
                <w:sz w:val="24"/>
                <w:szCs w:val="24"/>
                <w:lang w:val="en-US" w:eastAsia="ja-JP"/>
              </w:rPr>
              <w:t xml:space="preserve"> key parts of the solution.</w:t>
            </w:r>
          </w:p>
          <w:p w14:paraId="2ACCD1EC" w14:textId="6F7ABF41" w:rsidR="00354029" w:rsidRPr="00AC2F42" w:rsidRDefault="00354029" w:rsidP="00E73FE4">
            <w:pPr>
              <w:rPr>
                <w:rFonts w:ascii="Graphik Regular" w:hAnsi="Graphik Regular" w:cs="Circular Std Book"/>
                <w:sz w:val="22"/>
                <w:szCs w:val="22"/>
              </w:rPr>
            </w:pP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7F57925C" w:rsidR="00A00C0B" w:rsidRDefault="00BB20A8">
    <w:pPr>
      <w:pStyle w:val="Header"/>
    </w:pPr>
    <w:r>
      <w:rPr>
        <w:noProof/>
      </w:rPr>
      <w:drawing>
        <wp:anchor distT="0" distB="0" distL="114300" distR="114300" simplePos="0" relativeHeight="251663360" behindDoc="1" locked="0" layoutInCell="1" allowOverlap="1" wp14:anchorId="5D96DE7D" wp14:editId="7FE24E6D">
          <wp:simplePos x="0" y="0"/>
          <wp:positionH relativeFrom="page">
            <wp:posOffset>0</wp:posOffset>
          </wp:positionH>
          <wp:positionV relativeFrom="paragraph">
            <wp:posOffset>9525</wp:posOffset>
          </wp:positionV>
          <wp:extent cx="7628255" cy="1906905"/>
          <wp:effectExtent l="0" t="0" r="0" b="0"/>
          <wp:wrapTight wrapText="bothSides">
            <wp:wrapPolygon edited="0">
              <wp:start x="0" y="0"/>
              <wp:lineTo x="0" y="21363"/>
              <wp:lineTo x="21523" y="21363"/>
              <wp:lineTo x="21523"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8255" cy="1906905"/>
                  </a:xfrm>
                  <a:prstGeom prst="rect">
                    <a:avLst/>
                  </a:prstGeom>
                </pic:spPr>
              </pic:pic>
            </a:graphicData>
          </a:graphic>
          <wp14:sizeRelH relativeFrom="margin">
            <wp14:pctWidth>0</wp14:pctWidth>
          </wp14:sizeRelH>
          <wp14:sizeRelV relativeFrom="margin">
            <wp14:pctHeight>0</wp14:pctHeight>
          </wp14:sizeRelV>
        </wp:anchor>
      </w:drawing>
    </w:r>
    <w:r w:rsidR="00D35B40">
      <w:rPr>
        <w:noProof/>
      </w:rPr>
      <w:drawing>
        <wp:anchor distT="0" distB="0" distL="114300" distR="114300" simplePos="0" relativeHeight="251660288" behindDoc="0" locked="0" layoutInCell="1" allowOverlap="1" wp14:anchorId="3BE85AE5" wp14:editId="75F82E78">
          <wp:simplePos x="0" y="0"/>
          <wp:positionH relativeFrom="page">
            <wp:align>left</wp:align>
          </wp:positionH>
          <wp:positionV relativeFrom="paragraph">
            <wp:posOffset>5080</wp:posOffset>
          </wp:positionV>
          <wp:extent cx="7559197" cy="1890713"/>
          <wp:effectExtent l="0" t="0" r="3810" b="0"/>
          <wp:wrapSquare wrapText="bothSides"/>
          <wp:docPr id="1" name="Picture 1" descr="A picture containing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map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9197" cy="18907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8.75pt" o:bullet="t">
        <v:imagedata r:id="rId2" o:title="Conf-Icon"/>
      </v:shape>
    </w:pict>
  </w:numPicBullet>
  <w:numPicBullet w:numPicBulletId="2">
    <w:pict>
      <v:shape id="_x0000_i1028" type="#_x0000_t75" style="width:152.25pt;height:144.75pt" o:bullet="t">
        <v:imagedata r:id="rId3" o:title="Conf-Icon"/>
      </v:shape>
    </w:pict>
  </w:numPicBullet>
  <w:numPicBullet w:numPicBulletId="3">
    <w:pict>
      <v:shape id="_x0000_i1029" type="#_x0000_t75" style="width:122.25pt;height:111.75pt" o:bullet="t">
        <v:imagedata r:id="rId4" o:title="Bullet Point"/>
      </v:shape>
    </w:pict>
  </w:numPicBullet>
  <w:numPicBullet w:numPicBulletId="4">
    <w:pict>
      <v:shape id="_x0000_i1030" type="#_x0000_t75" style="width:108.7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E0076"/>
    <w:multiLevelType w:val="hybridMultilevel"/>
    <w:tmpl w:val="E17023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305141">
    <w:abstractNumId w:val="11"/>
  </w:num>
  <w:num w:numId="2" w16cid:durableId="1634367793">
    <w:abstractNumId w:val="6"/>
  </w:num>
  <w:num w:numId="3" w16cid:durableId="160969304">
    <w:abstractNumId w:val="7"/>
  </w:num>
  <w:num w:numId="4" w16cid:durableId="2145733691">
    <w:abstractNumId w:val="31"/>
  </w:num>
  <w:num w:numId="5" w16cid:durableId="1117792576">
    <w:abstractNumId w:val="16"/>
  </w:num>
  <w:num w:numId="6" w16cid:durableId="285474851">
    <w:abstractNumId w:val="0"/>
  </w:num>
  <w:num w:numId="7" w16cid:durableId="2014796526">
    <w:abstractNumId w:val="4"/>
  </w:num>
  <w:num w:numId="8" w16cid:durableId="1050761586">
    <w:abstractNumId w:val="2"/>
  </w:num>
  <w:num w:numId="9" w16cid:durableId="1673482435">
    <w:abstractNumId w:val="30"/>
  </w:num>
  <w:num w:numId="10" w16cid:durableId="160123299">
    <w:abstractNumId w:val="17"/>
  </w:num>
  <w:num w:numId="11" w16cid:durableId="508913825">
    <w:abstractNumId w:val="27"/>
  </w:num>
  <w:num w:numId="12" w16cid:durableId="1168132571">
    <w:abstractNumId w:val="14"/>
  </w:num>
  <w:num w:numId="13" w16cid:durableId="1089696202">
    <w:abstractNumId w:val="22"/>
  </w:num>
  <w:num w:numId="14" w16cid:durableId="520818518">
    <w:abstractNumId w:val="1"/>
  </w:num>
  <w:num w:numId="15" w16cid:durableId="252905913">
    <w:abstractNumId w:val="25"/>
  </w:num>
  <w:num w:numId="16" w16cid:durableId="584342246">
    <w:abstractNumId w:val="19"/>
  </w:num>
  <w:num w:numId="17" w16cid:durableId="1549219434">
    <w:abstractNumId w:val="15"/>
  </w:num>
  <w:num w:numId="18" w16cid:durableId="848567062">
    <w:abstractNumId w:val="28"/>
  </w:num>
  <w:num w:numId="19" w16cid:durableId="1881479433">
    <w:abstractNumId w:val="10"/>
  </w:num>
  <w:num w:numId="20" w16cid:durableId="119884810">
    <w:abstractNumId w:val="24"/>
  </w:num>
  <w:num w:numId="21" w16cid:durableId="1617060786">
    <w:abstractNumId w:val="12"/>
  </w:num>
  <w:num w:numId="22" w16cid:durableId="341903973">
    <w:abstractNumId w:val="18"/>
  </w:num>
  <w:num w:numId="23" w16cid:durableId="665061887">
    <w:abstractNumId w:val="26"/>
  </w:num>
  <w:num w:numId="24" w16cid:durableId="613172424">
    <w:abstractNumId w:val="5"/>
  </w:num>
  <w:num w:numId="25" w16cid:durableId="1936160375">
    <w:abstractNumId w:val="20"/>
  </w:num>
  <w:num w:numId="26" w16cid:durableId="1957179354">
    <w:abstractNumId w:val="9"/>
  </w:num>
  <w:num w:numId="27" w16cid:durableId="627397463">
    <w:abstractNumId w:val="23"/>
  </w:num>
  <w:num w:numId="28" w16cid:durableId="455413959">
    <w:abstractNumId w:val="21"/>
  </w:num>
  <w:num w:numId="29" w16cid:durableId="546528731">
    <w:abstractNumId w:val="8"/>
  </w:num>
  <w:num w:numId="30" w16cid:durableId="545487602">
    <w:abstractNumId w:val="13"/>
  </w:num>
  <w:num w:numId="31" w16cid:durableId="312029146">
    <w:abstractNumId w:val="29"/>
  </w:num>
  <w:num w:numId="32" w16cid:durableId="3659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2917"/>
    <w:rsid w:val="002F4899"/>
    <w:rsid w:val="002F5169"/>
    <w:rsid w:val="0030225C"/>
    <w:rsid w:val="00304226"/>
    <w:rsid w:val="00306A34"/>
    <w:rsid w:val="00311C11"/>
    <w:rsid w:val="003136AA"/>
    <w:rsid w:val="00320F8A"/>
    <w:rsid w:val="003244F7"/>
    <w:rsid w:val="003266F2"/>
    <w:rsid w:val="003349C4"/>
    <w:rsid w:val="003371E0"/>
    <w:rsid w:val="00340430"/>
    <w:rsid w:val="00354029"/>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B0EA5"/>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56B"/>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0A8"/>
    <w:rsid w:val="00BB26CE"/>
    <w:rsid w:val="00BC6341"/>
    <w:rsid w:val="00BD6ED8"/>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EF2D99"/>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ListParagraph">
    <w:name w:val="List Paragraph"/>
    <w:basedOn w:val="Normal"/>
    <w:uiPriority w:val="34"/>
    <w:qFormat/>
    <w:rsid w:val="00354029"/>
    <w:pPr>
      <w:spacing w:after="160" w:line="259" w:lineRule="auto"/>
      <w:ind w:left="720"/>
      <w:contextualSpacing/>
    </w:pPr>
    <w:rPr>
      <w:rFonts w:asciiTheme="minorHAnsi" w:eastAsiaTheme="minorHAnsi" w:hAnsiTheme="minorHAnsi" w:cstheme="minorBid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1940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4</cp:revision>
  <cp:lastPrinted>2017-09-24T23:53:00Z</cp:lastPrinted>
  <dcterms:created xsi:type="dcterms:W3CDTF">2021-10-07T04:08:00Z</dcterms:created>
  <dcterms:modified xsi:type="dcterms:W3CDTF">2022-07-05T00:10:00Z</dcterms:modified>
</cp:coreProperties>
</file>