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F1749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Neha</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F1749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Sharma</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F17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Jacobs</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F17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Level 3, 86 Customhouse Quay, Wellington, 6011</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F17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Neha.Sharma@jacobs.com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F17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0211344398</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F17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1749F">
              <w:rPr>
                <w:rFonts w:ascii="Fakt Pro Bln" w:hAnsi="Fakt Pro Bln" w:cs="Circular Std Book"/>
                <w:noProof/>
                <w:sz w:val="22"/>
                <w:szCs w:val="22"/>
              </w:rPr>
              <w:t>0211344398</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bookmarkEnd w:id="1"/>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E5650A">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5650A">
              <w:rPr>
                <w:rFonts w:ascii="Fakt Pro Bln" w:hAnsi="Fakt Pro Bln" w:cs="Circular Std Book"/>
                <w:noProof/>
                <w:sz w:val="22"/>
                <w:szCs w:val="22"/>
              </w:rPr>
              <w:t>Connected Vehicles: Then, Now and Tomorrow</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E5650A" w:rsidRPr="00E5650A" w:rsidRDefault="00F44BB9" w:rsidP="00E5650A">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5650A" w:rsidRPr="00E5650A">
              <w:rPr>
                <w:rFonts w:ascii="Fakt Pro Bln" w:hAnsi="Fakt Pro Bln" w:cs="Circular Std Book"/>
                <w:noProof/>
                <w:sz w:val="22"/>
                <w:szCs w:val="22"/>
              </w:rPr>
              <w:t xml:space="preserve">This paper presents an aspect of connected vehicles where they eliminate the need of traffic signals altogether. Traffic signal controls have come a long way in the past century – from fixed signal control to adaptive traffic control systems (such as SCATS and SCOOTS), to hopefully, virtual traffic lights in the future. Virtual traffic lights employ the vehicle-to-vehicle and vehicle-to-infrastructure communication technologies to transfer vehicle data (speed, position etc) from one vehicle to another and/or to nearby infrastructure to create the optimal solution for the right of way at intersections. These technologies allow every intersection to become signalised in the presence of a vehicle. </w:t>
            </w:r>
          </w:p>
          <w:p w:rsidR="00657112" w:rsidRPr="00141C3F" w:rsidRDefault="00E5650A" w:rsidP="00E5650A">
            <w:pPr>
              <w:spacing w:before="120" w:after="40"/>
              <w:rPr>
                <w:rFonts w:ascii="Fakt Pro Bln" w:hAnsi="Fakt Pro Bln" w:cs="Circular Std Book"/>
              </w:rPr>
            </w:pPr>
            <w:r w:rsidRPr="00E5650A">
              <w:rPr>
                <w:rFonts w:ascii="Fakt Pro Bln" w:hAnsi="Fakt Pro Bln" w:cs="Circular Std Book"/>
                <w:noProof/>
                <w:sz w:val="22"/>
                <w:szCs w:val="22"/>
              </w:rPr>
              <w:t xml:space="preserve">This paper presents what the future looks like for such technologies and the influence of connected vehicles on safety, environment and society. This paper also presents an overview of the research in this field. It also looks at </w:t>
            </w:r>
            <w:r w:rsidRPr="00E5650A">
              <w:rPr>
                <w:rFonts w:ascii="Fakt Pro Bln" w:hAnsi="Fakt Pro Bln" w:cs="Circular Std Book"/>
                <w:noProof/>
                <w:sz w:val="22"/>
                <w:szCs w:val="22"/>
              </w:rPr>
              <w:lastRenderedPageBreak/>
              <w:t>the preparation NZ is undertaking to encourage and implement these technologies locally, and the research and development in this field in academic and commercial scope.</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80C" w:rsidRDefault="00CC380C">
      <w:r>
        <w:separator/>
      </w:r>
    </w:p>
  </w:endnote>
  <w:endnote w:type="continuationSeparator" w:id="0">
    <w:p w:rsidR="00CC380C" w:rsidRDefault="00CC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AU" w:eastAsia="en-AU"/>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80C" w:rsidRDefault="00CC380C">
      <w:r>
        <w:separator/>
      </w:r>
    </w:p>
  </w:footnote>
  <w:footnote w:type="continuationSeparator" w:id="0">
    <w:p w:rsidR="00CC380C" w:rsidRDefault="00CC3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AU" w:eastAsia="en-AU"/>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9.6pt;height:81.6pt" o:bullet="t">
        <v:imagedata r:id="rId1" o:title="Bullet Point"/>
      </v:shape>
    </w:pict>
  </w:numPicBullet>
  <w:numPicBullet w:numPicBulletId="1">
    <w:pict>
      <v:shape id="_x0000_i1037" type="#_x0000_t75" style="width:176.4pt;height:170.4pt" o:bullet="t">
        <v:imagedata r:id="rId2" o:title="Conf-Icon"/>
      </v:shape>
    </w:pict>
  </w:numPicBullet>
  <w:numPicBullet w:numPicBulletId="2">
    <w:pict>
      <v:shape id="_x0000_i1038" type="#_x0000_t75" style="width:151.8pt;height:144.6pt" o:bullet="t">
        <v:imagedata r:id="rId3" o:title="Conf-Icon"/>
      </v:shape>
    </w:pict>
  </w:numPicBullet>
  <w:numPicBullet w:numPicBulletId="3">
    <w:pict>
      <v:shape id="_x0000_i1039" type="#_x0000_t75" style="width:122.4pt;height:111pt" o:bullet="t">
        <v:imagedata r:id="rId4" o:title="Bullet Point"/>
      </v:shape>
    </w:pict>
  </w:numPicBullet>
  <w:numPicBullet w:numPicBulletId="4">
    <w:pict>
      <v:shape id="_x0000_i1040" type="#_x0000_t75" style="width:109.2pt;height:107.4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80C"/>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0A"/>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49F"/>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0BD576"/>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2">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613C23-8D3D-4FD8-AAAE-43A2F7B4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1870</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Sharma, Neha</cp:lastModifiedBy>
  <cp:revision>3</cp:revision>
  <cp:lastPrinted>2017-09-24T23:53:00Z</cp:lastPrinted>
  <dcterms:created xsi:type="dcterms:W3CDTF">2017-10-08T21:16:00Z</dcterms:created>
  <dcterms:modified xsi:type="dcterms:W3CDTF">2017-10-08T21:17:00Z</dcterms:modified>
</cp:coreProperties>
</file>