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53DC6306" w:rsidR="00714297" w:rsidRPr="00D35B40" w:rsidRDefault="008A03D9"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Creating well-functioning urban environments around stations</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01AA3C28" w14:textId="77777777" w:rsidR="00F0625E" w:rsidRDefault="00DD4A14" w:rsidP="00E73FE4">
            <w:pPr>
              <w:rPr>
                <w:rFonts w:ascii="Graphik Regular" w:hAnsi="Graphik Regular" w:cs="Circular Std Book"/>
                <w:sz w:val="22"/>
                <w:szCs w:val="22"/>
              </w:rPr>
            </w:pPr>
            <w:r w:rsidRPr="00DD4A14">
              <w:rPr>
                <w:rFonts w:ascii="Graphik Regular" w:hAnsi="Graphik Regular" w:cs="Circular Std Book"/>
                <w:i/>
                <w:iCs/>
                <w:sz w:val="22"/>
                <w:szCs w:val="22"/>
              </w:rPr>
              <w:t>How do we create thriving communities around rapid transit in Auckland?</w:t>
            </w:r>
            <w:r>
              <w:rPr>
                <w:rFonts w:ascii="Graphik Regular" w:hAnsi="Graphik Regular" w:cs="Circular Std Book"/>
                <w:sz w:val="22"/>
                <w:szCs w:val="22"/>
              </w:rPr>
              <w:t xml:space="preserve"> This is one of the most relevant questions facing planners and decision makers in the city today. In response to this challenge AECOM were commissioned to develop a study into Auckland’s rapid transit system. This study seeks to be the beginning of an integrated transport and land use strategy for the city. Having such a strategy in place will be critical for Auckland’s social and environmental well-being as the city grows by an extra million people over the next 30 years. </w:t>
            </w:r>
          </w:p>
          <w:p w14:paraId="776FAD73" w14:textId="77777777" w:rsidR="00DD4A14" w:rsidRDefault="00DD4A14" w:rsidP="00E73FE4">
            <w:pPr>
              <w:rPr>
                <w:rFonts w:ascii="Graphik Regular" w:hAnsi="Graphik Regular" w:cs="Circular Std Book"/>
                <w:sz w:val="22"/>
                <w:szCs w:val="22"/>
              </w:rPr>
            </w:pPr>
          </w:p>
          <w:p w14:paraId="6B37C2FB" w14:textId="1A97E1E8" w:rsidR="00DD4A14" w:rsidRDefault="00DD4A14" w:rsidP="00E73FE4">
            <w:pPr>
              <w:rPr>
                <w:rFonts w:ascii="Graphik Regular" w:hAnsi="Graphik Regular" w:cs="Circular Std Book"/>
                <w:sz w:val="22"/>
                <w:szCs w:val="22"/>
              </w:rPr>
            </w:pPr>
            <w:r>
              <w:rPr>
                <w:rFonts w:ascii="Graphik Regular" w:hAnsi="Graphik Regular" w:cs="Circular Std Book"/>
                <w:sz w:val="22"/>
                <w:szCs w:val="22"/>
              </w:rPr>
              <w:t>The study involved an analysis of the existing transport access and land use conditions around Auckland’s existing and committed rapid transit stations (busway, ferry, and train). Using the information gathered in this analysis a suite of high-level interventions and opportunities were developed to integrate the transport access, land use and customer experience within the station catchment. A key aspect of the study was the use of the butterfly model, which intuitively displays the levels of transport access compared to levels of land use development around the station, as well as the customer experience at the station level. The model also provided an aspiration</w:t>
            </w:r>
            <w:r w:rsidR="00075DD1">
              <w:rPr>
                <w:rFonts w:ascii="Graphik Regular" w:hAnsi="Graphik Regular" w:cs="Circular Std Book"/>
                <w:sz w:val="22"/>
                <w:szCs w:val="22"/>
              </w:rPr>
              <w:t>al</w:t>
            </w:r>
            <w:r>
              <w:rPr>
                <w:rFonts w:ascii="Graphik Regular" w:hAnsi="Graphik Regular" w:cs="Circular Std Book"/>
                <w:sz w:val="22"/>
                <w:szCs w:val="22"/>
              </w:rPr>
              <w:t xml:space="preserve"> target for the station</w:t>
            </w:r>
            <w:r w:rsidR="00075DD1">
              <w:rPr>
                <w:rFonts w:ascii="Graphik Regular" w:hAnsi="Graphik Regular" w:cs="Circular Std Book"/>
                <w:sz w:val="22"/>
                <w:szCs w:val="22"/>
              </w:rPr>
              <w:t xml:space="preserve"> catchment</w:t>
            </w:r>
            <w:r>
              <w:rPr>
                <w:rFonts w:ascii="Graphik Regular" w:hAnsi="Graphik Regular" w:cs="Circular Std Book"/>
                <w:sz w:val="22"/>
                <w:szCs w:val="22"/>
              </w:rPr>
              <w:t xml:space="preserve"> to strive for in terms of transport access, land use development and station experience. </w:t>
            </w:r>
          </w:p>
          <w:p w14:paraId="4F18A9E4" w14:textId="003A76A2" w:rsidR="00DD4A14" w:rsidRDefault="00DD4A14" w:rsidP="00E73FE4">
            <w:pPr>
              <w:rPr>
                <w:rFonts w:ascii="Graphik Regular" w:hAnsi="Graphik Regular" w:cs="Circular Std Book"/>
                <w:sz w:val="22"/>
                <w:szCs w:val="22"/>
              </w:rPr>
            </w:pPr>
          </w:p>
          <w:p w14:paraId="5DE5E06B" w14:textId="057B378C" w:rsidR="00DD4A14" w:rsidRDefault="00DD4A14" w:rsidP="00E73FE4">
            <w:pPr>
              <w:rPr>
                <w:rFonts w:ascii="Graphik Regular" w:hAnsi="Graphik Regular" w:cs="Circular Std Book"/>
                <w:sz w:val="22"/>
                <w:szCs w:val="22"/>
              </w:rPr>
            </w:pPr>
            <w:r>
              <w:rPr>
                <w:rFonts w:ascii="Graphik Regular" w:hAnsi="Graphik Regular" w:cs="Circular Std Book"/>
                <w:sz w:val="22"/>
                <w:szCs w:val="22"/>
              </w:rPr>
              <w:t xml:space="preserve">For Auckland to have a thriving future as it grows it is paramount that this growth occurs in a way that increases accessibility and wellbeing for both the existing and future communities. </w:t>
            </w:r>
            <w:r w:rsidR="00497B73">
              <w:rPr>
                <w:rFonts w:ascii="Graphik Regular" w:hAnsi="Graphik Regular" w:cs="Circular Std Book"/>
                <w:sz w:val="22"/>
                <w:szCs w:val="22"/>
              </w:rPr>
              <w:t xml:space="preserve">This study and the future work that will flow from it will be critical to improving taha </w:t>
            </w:r>
            <w:proofErr w:type="spellStart"/>
            <w:r w:rsidR="00497B73">
              <w:rPr>
                <w:rFonts w:ascii="Graphik Regular" w:hAnsi="Graphik Regular" w:cs="Circular Std Book"/>
                <w:sz w:val="22"/>
                <w:szCs w:val="22"/>
              </w:rPr>
              <w:t>whānau</w:t>
            </w:r>
            <w:proofErr w:type="spellEnd"/>
            <w:r w:rsidR="00497B73">
              <w:rPr>
                <w:rFonts w:ascii="Graphik Regular" w:hAnsi="Graphik Regular" w:cs="Circular Std Book"/>
                <w:sz w:val="22"/>
                <w:szCs w:val="22"/>
              </w:rPr>
              <w:t xml:space="preserve"> in Auckland. To create thriving communities around transit it is important to have actors involved in transport as well as land use aligned on a clear set of goals and priorities. No one disciple can improve taha </w:t>
            </w:r>
            <w:proofErr w:type="spellStart"/>
            <w:r w:rsidR="00497B73">
              <w:rPr>
                <w:rFonts w:ascii="Graphik Regular" w:hAnsi="Graphik Regular" w:cs="Circular Std Book"/>
                <w:sz w:val="22"/>
                <w:szCs w:val="22"/>
              </w:rPr>
              <w:t>whānau</w:t>
            </w:r>
            <w:proofErr w:type="spellEnd"/>
            <w:r w:rsidR="00497B73">
              <w:rPr>
                <w:rFonts w:ascii="Graphik Regular" w:hAnsi="Graphik Regular" w:cs="Circular Std Book"/>
                <w:sz w:val="22"/>
                <w:szCs w:val="22"/>
              </w:rPr>
              <w:t xml:space="preserve"> on its own, but only when we break down silos and work together that we can do that.  </w:t>
            </w:r>
          </w:p>
          <w:p w14:paraId="4FF1BC1C" w14:textId="025C4E6D" w:rsidR="00C17639" w:rsidRDefault="00C17639" w:rsidP="00E73FE4">
            <w:pPr>
              <w:rPr>
                <w:rFonts w:ascii="Graphik Regular" w:hAnsi="Graphik Regular" w:cs="Circular Std Book"/>
                <w:sz w:val="22"/>
                <w:szCs w:val="22"/>
              </w:rPr>
            </w:pPr>
            <w:r>
              <w:rPr>
                <w:rFonts w:ascii="Graphik Regular" w:hAnsi="Graphik Regular" w:cs="Circular Std Book"/>
                <w:sz w:val="22"/>
                <w:szCs w:val="22"/>
              </w:rPr>
              <w:t xml:space="preserve">Below: The butterfly model used as part of the study. </w:t>
            </w:r>
          </w:p>
          <w:p w14:paraId="2ACCD1EC" w14:textId="554002EE" w:rsidR="00DD4A14" w:rsidRPr="00AC2F42" w:rsidRDefault="00DD4A14" w:rsidP="00E73FE4">
            <w:pPr>
              <w:rPr>
                <w:rFonts w:ascii="Graphik Regular" w:hAnsi="Graphik Regular" w:cs="Circular Std Book"/>
                <w:sz w:val="22"/>
                <w:szCs w:val="22"/>
              </w:rPr>
            </w:pPr>
          </w:p>
        </w:tc>
      </w:tr>
    </w:tbl>
    <w:p w14:paraId="5FBDBD50" w14:textId="6445353E" w:rsidR="00BE3A75" w:rsidRPr="00657112" w:rsidRDefault="00D67C7C" w:rsidP="00657112">
      <w:pPr>
        <w:autoSpaceDE w:val="0"/>
        <w:autoSpaceDN w:val="0"/>
        <w:adjustRightInd w:val="0"/>
        <w:rPr>
          <w:rFonts w:ascii="Fakt Pro Bln" w:hAnsi="Fakt Pro Bln" w:cs="Circular Std Book"/>
        </w:rPr>
      </w:pPr>
      <w:r>
        <w:rPr>
          <w:noProof/>
        </w:rPr>
        <w:drawing>
          <wp:inline distT="0" distB="0" distL="0" distR="0" wp14:anchorId="4E187B64" wp14:editId="1EC3EB98">
            <wp:extent cx="5981700" cy="263875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7860" cy="2645880"/>
                    </a:xfrm>
                    <a:prstGeom prst="rect">
                      <a:avLst/>
                    </a:prstGeom>
                  </pic:spPr>
                </pic:pic>
              </a:graphicData>
            </a:graphic>
          </wp:inline>
        </w:drawing>
      </w:r>
    </w:p>
    <w:sectPr w:rsidR="00BE3A75" w:rsidRPr="00657112" w:rsidSect="009202AF">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54D7" w14:textId="77777777" w:rsidR="000138A3" w:rsidRDefault="000138A3">
      <w:r>
        <w:separator/>
      </w:r>
    </w:p>
  </w:endnote>
  <w:endnote w:type="continuationSeparator" w:id="0">
    <w:p w14:paraId="5D178380" w14:textId="77777777" w:rsidR="000138A3" w:rsidRDefault="0001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Default="00D35B40" w:rsidP="009202AF">
    <w:pPr>
      <w:pStyle w:val="Footer"/>
      <w:ind w:left="-709"/>
      <w:jc w:val="right"/>
    </w:pPr>
    <w:r>
      <w:rPr>
        <w:noProof/>
      </w:rPr>
      <w:drawing>
        <wp:anchor distT="0" distB="0" distL="114300" distR="114300" simplePos="0" relativeHeight="251661312" behindDoc="1" locked="0" layoutInCell="1" allowOverlap="1" wp14:anchorId="3392DFCA" wp14:editId="3E1D46E6">
          <wp:simplePos x="0" y="0"/>
          <wp:positionH relativeFrom="page">
            <wp:align>left</wp:align>
          </wp:positionH>
          <wp:positionV relativeFrom="paragraph">
            <wp:posOffset>-433070</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6DE" w14:textId="77777777" w:rsidR="00CD1AF5" w:rsidRDefault="00CD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519" w14:textId="77777777" w:rsidR="000138A3" w:rsidRDefault="000138A3">
      <w:r>
        <w:separator/>
      </w:r>
    </w:p>
  </w:footnote>
  <w:footnote w:type="continuationSeparator" w:id="0">
    <w:p w14:paraId="28A5F85C" w14:textId="77777777" w:rsidR="000138A3" w:rsidRDefault="00013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14B" w14:textId="77777777" w:rsidR="00CD1AF5" w:rsidRDefault="00CD1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422" w14:textId="564A3C53" w:rsidR="00F37C39" w:rsidRDefault="00CD1AF5">
    <w:pPr>
      <w:pStyle w:val="Header"/>
    </w:pPr>
    <w:r>
      <w:rPr>
        <w:noProof/>
      </w:rPr>
      <w:drawing>
        <wp:anchor distT="0" distB="0" distL="114300" distR="114300" simplePos="0" relativeHeight="251662336" behindDoc="1" locked="0" layoutInCell="1" allowOverlap="1" wp14:anchorId="78F9165D" wp14:editId="3723B54C">
          <wp:simplePos x="0" y="0"/>
          <wp:positionH relativeFrom="page">
            <wp:align>left</wp:align>
          </wp:positionH>
          <wp:positionV relativeFrom="paragraph">
            <wp:posOffset>0</wp:posOffset>
          </wp:positionV>
          <wp:extent cx="7581169" cy="1895475"/>
          <wp:effectExtent l="0" t="0" r="1270" b="0"/>
          <wp:wrapTight wrapText="bothSides">
            <wp:wrapPolygon edited="0">
              <wp:start x="0" y="0"/>
              <wp:lineTo x="0" y="21274"/>
              <wp:lineTo x="21549" y="21274"/>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3030" cy="1898440"/>
                  </a:xfrm>
                  <a:prstGeom prst="rect">
                    <a:avLst/>
                  </a:prstGeom>
                </pic:spPr>
              </pic:pic>
            </a:graphicData>
          </a:graphic>
          <wp14:sizeRelH relativeFrom="margin">
            <wp14:pctWidth>0</wp14:pctWidth>
          </wp14:sizeRelH>
          <wp14:sizeRelV relativeFrom="margin">
            <wp14:pctHeight>0</wp14:pctHeight>
          </wp14:sizeRelV>
        </wp:anchor>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BEB" w14:textId="77777777" w:rsidR="00CD1AF5" w:rsidRDefault="00CD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99.75pt;height:83.25pt" o:bullet="t">
        <v:imagedata r:id="rId1" o:title="Bullet Point"/>
      </v:shape>
    </w:pict>
  </w:numPicBullet>
  <w:numPicBullet w:numPicBulletId="1">
    <w:pict>
      <v:shape id="_x0000_i1157" type="#_x0000_t75" style="width:177pt;height:169.5pt" o:bullet="t">
        <v:imagedata r:id="rId2" o:title="Conf-Icon"/>
      </v:shape>
    </w:pict>
  </w:numPicBullet>
  <w:numPicBullet w:numPicBulletId="2">
    <w:pict>
      <v:shape id="_x0000_i1158" type="#_x0000_t75" style="width:151.5pt;height:144.75pt" o:bullet="t">
        <v:imagedata r:id="rId3" o:title="Conf-Icon"/>
      </v:shape>
    </w:pict>
  </w:numPicBullet>
  <w:numPicBullet w:numPicBulletId="3">
    <w:pict>
      <v:shape id="_x0000_i1159" type="#_x0000_t75" style="width:122.25pt;height:112.5pt" o:bullet="t">
        <v:imagedata r:id="rId4" o:title="Bullet Point"/>
      </v:shape>
    </w:pict>
  </w:numPicBullet>
  <w:numPicBullet w:numPicBulletId="4">
    <w:pict>
      <v:shape id="_x0000_i116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138A3"/>
    <w:rsid w:val="00033179"/>
    <w:rsid w:val="00035CC2"/>
    <w:rsid w:val="00047A44"/>
    <w:rsid w:val="000615B7"/>
    <w:rsid w:val="00062E29"/>
    <w:rsid w:val="00075DD1"/>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97B73"/>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A03D9"/>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3C9"/>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17639"/>
    <w:rsid w:val="00C31339"/>
    <w:rsid w:val="00C32978"/>
    <w:rsid w:val="00C35A98"/>
    <w:rsid w:val="00C43D41"/>
    <w:rsid w:val="00C602BB"/>
    <w:rsid w:val="00C62828"/>
    <w:rsid w:val="00C7440C"/>
    <w:rsid w:val="00C93D31"/>
    <w:rsid w:val="00CA531A"/>
    <w:rsid w:val="00CA652B"/>
    <w:rsid w:val="00CC3F26"/>
    <w:rsid w:val="00CC5B1D"/>
    <w:rsid w:val="00CD1AF5"/>
    <w:rsid w:val="00CD37E8"/>
    <w:rsid w:val="00CE14E0"/>
    <w:rsid w:val="00CE155D"/>
    <w:rsid w:val="00CE6E57"/>
    <w:rsid w:val="00CE7A3D"/>
    <w:rsid w:val="00CF1AEF"/>
    <w:rsid w:val="00D055DF"/>
    <w:rsid w:val="00D35B40"/>
    <w:rsid w:val="00D63EA2"/>
    <w:rsid w:val="00D67C7C"/>
    <w:rsid w:val="00D719B5"/>
    <w:rsid w:val="00D73AF4"/>
    <w:rsid w:val="00D7455A"/>
    <w:rsid w:val="00D835B0"/>
    <w:rsid w:val="00D87B29"/>
    <w:rsid w:val="00DA3906"/>
    <w:rsid w:val="00DD4A14"/>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2060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Maitland, Jacques</cp:lastModifiedBy>
  <cp:revision>5</cp:revision>
  <cp:lastPrinted>2017-09-24T23:53:00Z</cp:lastPrinted>
  <dcterms:created xsi:type="dcterms:W3CDTF">2022-11-10T21:06:00Z</dcterms:created>
  <dcterms:modified xsi:type="dcterms:W3CDTF">2022-11-10T22:44:00Z</dcterms:modified>
</cp:coreProperties>
</file>