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82953" w14:textId="77777777" w:rsidR="00F44BB9" w:rsidRPr="00DA3906" w:rsidRDefault="00F44BB9" w:rsidP="00F44BB9">
      <w:pPr>
        <w:ind w:left="45"/>
        <w:jc w:val="center"/>
        <w:rPr>
          <w:rFonts w:ascii="Fakt Pro Bln" w:hAnsi="Fakt Pro Bln" w:cs="Circular Std Book"/>
          <w:b/>
          <w:sz w:val="20"/>
          <w:szCs w:val="20"/>
        </w:rPr>
      </w:pPr>
    </w:p>
    <w:p w14:paraId="76482954" w14:textId="77777777"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14:paraId="76482955" w14:textId="77777777"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14:paraId="76482956" w14:textId="77777777"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14:paraId="76482958" w14:textId="77777777" w:rsidTr="00B51C59">
        <w:trPr>
          <w:trHeight w:val="482"/>
        </w:trPr>
        <w:tc>
          <w:tcPr>
            <w:tcW w:w="10405" w:type="dxa"/>
            <w:gridSpan w:val="5"/>
            <w:shd w:val="clear" w:color="auto" w:fill="auto"/>
            <w:vAlign w:val="center"/>
          </w:tcPr>
          <w:p w14:paraId="76482957"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14:paraId="7648295D" w14:textId="77777777" w:rsidTr="00657112">
        <w:trPr>
          <w:trHeight w:val="637"/>
        </w:trPr>
        <w:tc>
          <w:tcPr>
            <w:tcW w:w="2268" w:type="dxa"/>
            <w:shd w:val="clear" w:color="auto" w:fill="auto"/>
            <w:vAlign w:val="center"/>
          </w:tcPr>
          <w:p w14:paraId="76482959"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7648295A" w14:textId="20352E1C" w:rsidR="00B51C59" w:rsidRPr="00A1384F" w:rsidRDefault="00F44BB9" w:rsidP="001C3F5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1C3F56">
              <w:rPr>
                <w:rFonts w:ascii="Fakt Pro Bln" w:hAnsi="Fakt Pro Bln" w:cs="Circular Std Book"/>
                <w:noProof/>
                <w:sz w:val="22"/>
                <w:szCs w:val="22"/>
              </w:rPr>
              <w:t>Daniel</w:t>
            </w:r>
            <w:bookmarkEnd w:id="1"/>
            <w:r>
              <w:rPr>
                <w:rFonts w:ascii="Fakt Pro Bln" w:hAnsi="Fakt Pro Bln" w:cs="Circular Std Book"/>
                <w:sz w:val="22"/>
                <w:szCs w:val="22"/>
              </w:rPr>
              <w:fldChar w:fldCharType="end"/>
            </w:r>
            <w:bookmarkEnd w:id="0"/>
          </w:p>
        </w:tc>
        <w:tc>
          <w:tcPr>
            <w:tcW w:w="1791" w:type="dxa"/>
            <w:shd w:val="clear" w:color="auto" w:fill="auto"/>
            <w:vAlign w:val="center"/>
          </w:tcPr>
          <w:p w14:paraId="7648295B"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7648295C" w14:textId="34CFBC66" w:rsidR="00B51C59" w:rsidRPr="00A1384F" w:rsidRDefault="00F44BB9" w:rsidP="001C3F56">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Newcombe</w:t>
            </w:r>
            <w:r>
              <w:rPr>
                <w:rFonts w:ascii="Fakt Pro Bln" w:hAnsi="Fakt Pro Bln" w:cs="Circular Std Book"/>
                <w:sz w:val="22"/>
                <w:szCs w:val="22"/>
              </w:rPr>
              <w:fldChar w:fldCharType="end"/>
            </w:r>
          </w:p>
        </w:tc>
      </w:tr>
      <w:tr w:rsidR="00B51C59" w:rsidRPr="00A1384F" w14:paraId="76482960" w14:textId="77777777" w:rsidTr="00657112">
        <w:trPr>
          <w:trHeight w:val="548"/>
        </w:trPr>
        <w:tc>
          <w:tcPr>
            <w:tcW w:w="2268" w:type="dxa"/>
            <w:shd w:val="clear" w:color="auto" w:fill="auto"/>
            <w:vAlign w:val="center"/>
          </w:tcPr>
          <w:p w14:paraId="7648295E"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7648295F" w14:textId="6655A092" w:rsidR="00B51C59"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AT</w:t>
            </w:r>
            <w:r>
              <w:rPr>
                <w:rFonts w:ascii="Fakt Pro Bln" w:hAnsi="Fakt Pro Bln" w:cs="Circular Std Book"/>
                <w:sz w:val="22"/>
                <w:szCs w:val="22"/>
              </w:rPr>
              <w:fldChar w:fldCharType="end"/>
            </w:r>
          </w:p>
        </w:tc>
      </w:tr>
      <w:tr w:rsidR="00B51C59" w:rsidRPr="00A1384F" w14:paraId="76482963" w14:textId="77777777" w:rsidTr="00657112">
        <w:trPr>
          <w:trHeight w:val="548"/>
        </w:trPr>
        <w:tc>
          <w:tcPr>
            <w:tcW w:w="2268" w:type="dxa"/>
            <w:shd w:val="clear" w:color="auto" w:fill="auto"/>
            <w:vAlign w:val="center"/>
          </w:tcPr>
          <w:p w14:paraId="76482961"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14:paraId="76482962" w14:textId="02A9CC12" w:rsidR="00B51C59"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20 Viaduct Harbour Ave</w:t>
            </w:r>
            <w:r>
              <w:rPr>
                <w:rFonts w:ascii="Fakt Pro Bln" w:hAnsi="Fakt Pro Bln" w:cs="Circular Std Book"/>
                <w:sz w:val="22"/>
                <w:szCs w:val="22"/>
              </w:rPr>
              <w:fldChar w:fldCharType="end"/>
            </w:r>
          </w:p>
        </w:tc>
      </w:tr>
      <w:tr w:rsidR="00B51C59" w:rsidRPr="00A1384F" w14:paraId="76482966" w14:textId="77777777" w:rsidTr="00657112">
        <w:trPr>
          <w:trHeight w:val="548"/>
        </w:trPr>
        <w:tc>
          <w:tcPr>
            <w:tcW w:w="2268" w:type="dxa"/>
            <w:shd w:val="clear" w:color="auto" w:fill="auto"/>
            <w:vAlign w:val="center"/>
          </w:tcPr>
          <w:p w14:paraId="76482964" w14:textId="77777777"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14:paraId="76482965" w14:textId="49723838" w:rsidR="00B51C59"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daniel.newcombe@at.govt.nz</w:t>
            </w:r>
            <w:r>
              <w:rPr>
                <w:rFonts w:ascii="Fakt Pro Bln" w:hAnsi="Fakt Pro Bln" w:cs="Circular Std Book"/>
                <w:sz w:val="22"/>
                <w:szCs w:val="22"/>
              </w:rPr>
              <w:fldChar w:fldCharType="end"/>
            </w:r>
          </w:p>
        </w:tc>
      </w:tr>
      <w:tr w:rsidR="00B51C59" w:rsidRPr="00A1384F" w14:paraId="7648296B" w14:textId="77777777" w:rsidTr="00657112">
        <w:trPr>
          <w:trHeight w:val="548"/>
        </w:trPr>
        <w:tc>
          <w:tcPr>
            <w:tcW w:w="2268" w:type="dxa"/>
            <w:shd w:val="clear" w:color="auto" w:fill="auto"/>
            <w:vAlign w:val="center"/>
          </w:tcPr>
          <w:p w14:paraId="76482967" w14:textId="77777777"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14:paraId="76482968" w14:textId="12A9AD4D" w:rsidR="00B51C59"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021782939</w:t>
            </w:r>
            <w:r>
              <w:rPr>
                <w:rFonts w:ascii="Fakt Pro Bln" w:hAnsi="Fakt Pro Bln" w:cs="Circular Std Book"/>
                <w:sz w:val="22"/>
                <w:szCs w:val="22"/>
              </w:rPr>
              <w:fldChar w:fldCharType="end"/>
            </w:r>
          </w:p>
        </w:tc>
        <w:tc>
          <w:tcPr>
            <w:tcW w:w="1845" w:type="dxa"/>
            <w:gridSpan w:val="2"/>
            <w:shd w:val="clear" w:color="auto" w:fill="auto"/>
            <w:vAlign w:val="center"/>
          </w:tcPr>
          <w:p w14:paraId="76482969" w14:textId="77777777"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14:paraId="7648296A" w14:textId="4BA9D024" w:rsidR="00B51C59"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021782939</w:t>
            </w:r>
            <w:r>
              <w:rPr>
                <w:rFonts w:ascii="Fakt Pro Bln" w:hAnsi="Fakt Pro Bln" w:cs="Circular Std Book"/>
                <w:sz w:val="22"/>
                <w:szCs w:val="22"/>
              </w:rPr>
              <w:fldChar w:fldCharType="end"/>
            </w:r>
          </w:p>
        </w:tc>
      </w:tr>
      <w:tr w:rsidR="00CE155D" w:rsidRPr="00A1384F" w14:paraId="7648296D" w14:textId="77777777" w:rsidTr="00B51C59">
        <w:trPr>
          <w:trHeight w:val="482"/>
        </w:trPr>
        <w:tc>
          <w:tcPr>
            <w:tcW w:w="10405" w:type="dxa"/>
            <w:gridSpan w:val="5"/>
            <w:shd w:val="clear" w:color="auto" w:fill="auto"/>
            <w:vAlign w:val="center"/>
          </w:tcPr>
          <w:p w14:paraId="7648296C" w14:textId="77777777"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14:paraId="76482972" w14:textId="77777777" w:rsidTr="00657112">
        <w:trPr>
          <w:trHeight w:val="637"/>
        </w:trPr>
        <w:tc>
          <w:tcPr>
            <w:tcW w:w="2268" w:type="dxa"/>
            <w:shd w:val="clear" w:color="auto" w:fill="auto"/>
            <w:vAlign w:val="center"/>
          </w:tcPr>
          <w:p w14:paraId="7648296E" w14:textId="77777777"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14:paraId="7648296F"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76482970" w14:textId="77777777"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76482971" w14:textId="77777777"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14:paraId="76482975" w14:textId="77777777" w:rsidTr="00657112">
        <w:trPr>
          <w:trHeight w:val="548"/>
        </w:trPr>
        <w:tc>
          <w:tcPr>
            <w:tcW w:w="2268" w:type="dxa"/>
            <w:shd w:val="clear" w:color="auto" w:fill="auto"/>
            <w:vAlign w:val="center"/>
          </w:tcPr>
          <w:p w14:paraId="76482973" w14:textId="77777777"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14:paraId="76482974" w14:textId="77777777"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76482977" w14:textId="77777777" w:rsidTr="00B51C59">
        <w:trPr>
          <w:trHeight w:val="482"/>
        </w:trPr>
        <w:tc>
          <w:tcPr>
            <w:tcW w:w="10405" w:type="dxa"/>
            <w:gridSpan w:val="5"/>
            <w:shd w:val="clear" w:color="auto" w:fill="auto"/>
            <w:vAlign w:val="center"/>
          </w:tcPr>
          <w:p w14:paraId="76482976" w14:textId="77777777"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14:paraId="7648297C" w14:textId="77777777" w:rsidTr="00DA3906">
        <w:trPr>
          <w:trHeight w:val="637"/>
        </w:trPr>
        <w:tc>
          <w:tcPr>
            <w:tcW w:w="2268" w:type="dxa"/>
            <w:shd w:val="clear" w:color="auto" w:fill="auto"/>
            <w:vAlign w:val="center"/>
          </w:tcPr>
          <w:p w14:paraId="76482978" w14:textId="77777777"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14:paraId="76482979"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14:paraId="7648297A" w14:textId="77777777"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14:paraId="7648297B" w14:textId="77777777"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14:paraId="7648297F" w14:textId="77777777" w:rsidTr="00DA3906">
        <w:trPr>
          <w:trHeight w:val="548"/>
        </w:trPr>
        <w:tc>
          <w:tcPr>
            <w:tcW w:w="2268" w:type="dxa"/>
            <w:tcBorders>
              <w:bottom w:val="single" w:sz="48" w:space="0" w:color="808080" w:themeColor="background1" w:themeShade="80"/>
            </w:tcBorders>
            <w:shd w:val="clear" w:color="auto" w:fill="auto"/>
            <w:vAlign w:val="center"/>
          </w:tcPr>
          <w:p w14:paraId="7648297D" w14:textId="77777777"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14:paraId="7648297E" w14:textId="77777777"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14:paraId="76482982" w14:textId="77777777" w:rsidTr="00DA3906">
        <w:trPr>
          <w:trHeight w:val="548"/>
        </w:trPr>
        <w:tc>
          <w:tcPr>
            <w:tcW w:w="2268" w:type="dxa"/>
            <w:tcBorders>
              <w:top w:val="single" w:sz="48" w:space="0" w:color="808080" w:themeColor="background1" w:themeShade="80"/>
            </w:tcBorders>
            <w:shd w:val="clear" w:color="auto" w:fill="auto"/>
            <w:vAlign w:val="center"/>
          </w:tcPr>
          <w:p w14:paraId="76482980" w14:textId="77777777"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14:paraId="76482981" w14:textId="308EA64A" w:rsidR="00657112"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Oral</w:t>
            </w:r>
            <w:r>
              <w:rPr>
                <w:rFonts w:ascii="Fakt Pro Bln" w:hAnsi="Fakt Pro Bln" w:cs="Circular Std Book"/>
                <w:sz w:val="22"/>
                <w:szCs w:val="22"/>
              </w:rPr>
              <w:fldChar w:fldCharType="end"/>
            </w:r>
          </w:p>
        </w:tc>
      </w:tr>
      <w:tr w:rsidR="00657112" w:rsidRPr="00A1384F" w14:paraId="76482986" w14:textId="77777777" w:rsidTr="00DA3906">
        <w:trPr>
          <w:trHeight w:val="548"/>
        </w:trPr>
        <w:tc>
          <w:tcPr>
            <w:tcW w:w="2268" w:type="dxa"/>
            <w:shd w:val="clear" w:color="auto" w:fill="auto"/>
            <w:vAlign w:val="center"/>
          </w:tcPr>
          <w:p w14:paraId="76482983" w14:textId="77777777"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14:paraId="76482984" w14:textId="77777777"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14:paraId="76482985" w14:textId="17C82EF9" w:rsidR="00657112" w:rsidRPr="00A1384F" w:rsidRDefault="00F44BB9" w:rsidP="001C3F56">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Planning Tomorrow's Auckland City Centre</w:t>
            </w:r>
            <w:r>
              <w:rPr>
                <w:rFonts w:ascii="Fakt Pro Bln" w:hAnsi="Fakt Pro Bln" w:cs="Circular Std Book"/>
                <w:sz w:val="22"/>
                <w:szCs w:val="22"/>
              </w:rPr>
              <w:fldChar w:fldCharType="end"/>
            </w:r>
          </w:p>
        </w:tc>
      </w:tr>
      <w:tr w:rsidR="00657112" w:rsidRPr="00A1384F" w14:paraId="76482989" w14:textId="77777777" w:rsidTr="00DA3906">
        <w:trPr>
          <w:trHeight w:val="548"/>
        </w:trPr>
        <w:tc>
          <w:tcPr>
            <w:tcW w:w="10405" w:type="dxa"/>
            <w:gridSpan w:val="5"/>
            <w:tcBorders>
              <w:bottom w:val="single" w:sz="48" w:space="0" w:color="808080" w:themeColor="background1" w:themeShade="80"/>
            </w:tcBorders>
            <w:shd w:val="clear" w:color="auto" w:fill="auto"/>
          </w:tcPr>
          <w:p w14:paraId="76482987" w14:textId="77777777"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14:paraId="76482988" w14:textId="3D4488C9" w:rsidR="00657112" w:rsidRPr="00141C3F" w:rsidRDefault="00F44BB9" w:rsidP="001C3F56">
            <w:pPr>
              <w:spacing w:before="120" w:after="40"/>
              <w:rPr>
                <w:rFonts w:ascii="Fakt Pro Bln" w:hAnsi="Fakt Pro Bln" w:cs="Circular Std Book"/>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1C3F56">
              <w:rPr>
                <w:rFonts w:ascii="Fakt Pro Bln" w:hAnsi="Fakt Pro Bln" w:cs="Circular Std Book"/>
                <w:noProof/>
                <w:sz w:val="22"/>
                <w:szCs w:val="22"/>
              </w:rPr>
              <w:t>Despite undergoing massive growth and change in recent years. Auckland's city centre has been hampered by disagreement amongst stakeholders as to the best way to deliver necessary transport improvements in co-ordination with wider city centre projects.  Auckland Transport has achieved significant success in developing a collaborative approach with major stakeholders on an integrated way forward which will deliver a thriving city centre for tomorrow. This presentation will cover the complex challenges, the unique approach taken and successful solutions achieved by Auckland Transport, for a lessons learnt approach applicable to other transport agencies.</w:t>
            </w:r>
            <w:r>
              <w:rPr>
                <w:rFonts w:ascii="Fakt Pro Bln" w:hAnsi="Fakt Pro Bln" w:cs="Circular Std Book"/>
                <w:sz w:val="22"/>
                <w:szCs w:val="22"/>
              </w:rPr>
              <w:fldChar w:fldCharType="end"/>
            </w:r>
          </w:p>
        </w:tc>
      </w:tr>
    </w:tbl>
    <w:p w14:paraId="7648298A" w14:textId="77777777"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8298D" w14:textId="77777777" w:rsidR="00094515" w:rsidRDefault="00094515">
      <w:r>
        <w:separator/>
      </w:r>
    </w:p>
  </w:endnote>
  <w:endnote w:type="continuationSeparator" w:id="0">
    <w:p w14:paraId="7648298E" w14:textId="77777777"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87"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87"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2990" w14:textId="77777777"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14:paraId="76482991" w14:textId="77777777"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2992" w14:textId="77777777" w:rsidR="00094515" w:rsidRDefault="00094515" w:rsidP="00973ADB">
    <w:pPr>
      <w:pStyle w:val="Footer"/>
      <w:ind w:left="-851" w:right="-851"/>
      <w:jc w:val="center"/>
    </w:pPr>
    <w:r>
      <w:rPr>
        <w:noProof/>
        <w:lang w:val="en-NZ" w:eastAsia="en-NZ"/>
      </w:rPr>
      <w:drawing>
        <wp:inline distT="0" distB="0" distL="0" distR="0" wp14:anchorId="76482995" wp14:editId="76482996">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48298B" w14:textId="77777777" w:rsidR="00094515" w:rsidRDefault="00094515">
      <w:r>
        <w:separator/>
      </w:r>
    </w:p>
  </w:footnote>
  <w:footnote w:type="continuationSeparator" w:id="0">
    <w:p w14:paraId="7648298C" w14:textId="77777777"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298F" w14:textId="77777777"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6482993" wp14:editId="76482994">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75pt;height:81.75pt" o:bullet="t">
        <v:imagedata r:id="rId1" o:title="Bullet Point"/>
      </v:shape>
    </w:pict>
  </w:numPicBullet>
  <w:numPicBullet w:numPicBulletId="1">
    <w:pict>
      <v:shape id="_x0000_i1027" type="#_x0000_t75" style="width:176.25pt;height:170.25pt" o:bullet="t">
        <v:imagedata r:id="rId2" o:title="Conf-Icon"/>
      </v:shape>
    </w:pict>
  </w:numPicBullet>
  <w:numPicBullet w:numPicBulletId="2">
    <w:pict>
      <v:shape id="_x0000_i1028" type="#_x0000_t75" style="width:151.5pt;height:144.75pt" o:bullet="t">
        <v:imagedata r:id="rId3" o:title="Conf-Icon"/>
      </v:shape>
    </w:pict>
  </w:numPicBullet>
  <w:numPicBullet w:numPicBulletId="3">
    <w:pict>
      <v:shape id="_x0000_i1029" type="#_x0000_t75" style="width:122.25pt;height:111pt" o:bullet="t">
        <v:imagedata r:id="rId4" o:title="Bullet Point"/>
      </v:shape>
    </w:pict>
  </w:numPicBullet>
  <w:numPicBullet w:numPicBulletId="4">
    <w:pict>
      <v:shape id="_x0000_i1030" type="#_x0000_t75" style="width:109.5pt;height:107.2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C3F56"/>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31074"/>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86EA2"/>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82953"/>
  <w15:docId w15:val="{5A0D83C7-C886-4A14-8CB9-201B227D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C9597B-3418-4FD1-AC56-99B9B4A50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1401</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Julian Harding</cp:lastModifiedBy>
  <cp:revision>2</cp:revision>
  <cp:lastPrinted>2017-09-24T23:53:00Z</cp:lastPrinted>
  <dcterms:created xsi:type="dcterms:W3CDTF">2017-12-18T20:48:00Z</dcterms:created>
  <dcterms:modified xsi:type="dcterms:W3CDTF">2017-12-18T20:48:00Z</dcterms:modified>
</cp:coreProperties>
</file>