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7D99F63" w:rsidR="00714297" w:rsidRPr="00D35B40" w:rsidRDefault="003352C4"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Traffic Engineers ‘driving’ social outcomes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E9546F">
        <w:trPr>
          <w:trHeight w:val="2340"/>
        </w:trPr>
        <w:tc>
          <w:tcPr>
            <w:tcW w:w="10405" w:type="dxa"/>
            <w:tcBorders>
              <w:bottom w:val="nil"/>
            </w:tcBorders>
            <w:shd w:val="clear" w:color="auto" w:fill="auto"/>
          </w:tcPr>
          <w:p w14:paraId="194AECCB" w14:textId="17017DE0" w:rsidR="00E9546F" w:rsidRDefault="003352C4" w:rsidP="00E73FE4">
            <w:pPr>
              <w:rPr>
                <w:rFonts w:ascii="Graphik Regular" w:hAnsi="Graphik Regular" w:cs="Circular Std Book"/>
                <w:sz w:val="22"/>
                <w:szCs w:val="22"/>
              </w:rPr>
            </w:pPr>
            <w:r>
              <w:rPr>
                <w:rFonts w:ascii="Graphik Regular" w:hAnsi="Graphik Regular" w:cs="Circular Std Book"/>
                <w:sz w:val="22"/>
                <w:szCs w:val="22"/>
              </w:rPr>
              <w:t>From the most complex projects to the simple</w:t>
            </w:r>
            <w:r w:rsidR="00E9546F">
              <w:rPr>
                <w:rFonts w:ascii="Graphik Regular" w:hAnsi="Graphik Regular" w:cs="Circular Std Book"/>
                <w:sz w:val="22"/>
                <w:szCs w:val="22"/>
              </w:rPr>
              <w:t>st of</w:t>
            </w:r>
            <w:r>
              <w:rPr>
                <w:rFonts w:ascii="Graphik Regular" w:hAnsi="Graphik Regular" w:cs="Circular Std Book"/>
                <w:sz w:val="22"/>
                <w:szCs w:val="22"/>
              </w:rPr>
              <w:t xml:space="preserve"> solutions, the work done by Traffic and Transportation Engineers can have a direct and significant impact on the social outcomes achieved.  This work intersects across all facets of the Transport network solution and can have far ranging consequences includ</w:t>
            </w:r>
            <w:r w:rsidR="00E9546F">
              <w:rPr>
                <w:rFonts w:ascii="Graphik Regular" w:hAnsi="Graphik Regular" w:cs="Circular Std Book"/>
                <w:sz w:val="22"/>
                <w:szCs w:val="22"/>
              </w:rPr>
              <w:t>ing</w:t>
            </w:r>
            <w:r>
              <w:rPr>
                <w:rFonts w:ascii="Graphik Regular" w:hAnsi="Graphik Regular" w:cs="Circular Std Book"/>
                <w:sz w:val="22"/>
                <w:szCs w:val="22"/>
              </w:rPr>
              <w:t xml:space="preserve"> how connected or isolated our communities are, how </w:t>
            </w:r>
            <w:r w:rsidR="00AF006F">
              <w:rPr>
                <w:rFonts w:ascii="Graphik Regular" w:hAnsi="Graphik Regular" w:cs="Circular Std Book"/>
                <w:sz w:val="22"/>
                <w:szCs w:val="22"/>
              </w:rPr>
              <w:t>safe our neighbourhoods feel, how people use the network and how well the network supports activity and interaction.  This work cuts across the small</w:t>
            </w:r>
            <w:r w:rsidR="00E9546F">
              <w:rPr>
                <w:rFonts w:ascii="Graphik Regular" w:hAnsi="Graphik Regular" w:cs="Circular Std Book"/>
                <w:sz w:val="22"/>
                <w:szCs w:val="22"/>
              </w:rPr>
              <w:t>-</w:t>
            </w:r>
            <w:r w:rsidR="00AF006F">
              <w:rPr>
                <w:rFonts w:ascii="Graphik Regular" w:hAnsi="Graphik Regular" w:cs="Circular Std Book"/>
                <w:sz w:val="22"/>
                <w:szCs w:val="22"/>
              </w:rPr>
              <w:t xml:space="preserve">scale stuff of where we place signs, position pedestrian </w:t>
            </w:r>
            <w:proofErr w:type="gramStart"/>
            <w:r w:rsidR="00AF006F">
              <w:rPr>
                <w:rFonts w:ascii="Graphik Regular" w:hAnsi="Graphik Regular" w:cs="Circular Std Book"/>
                <w:sz w:val="22"/>
                <w:szCs w:val="22"/>
              </w:rPr>
              <w:t>crossings</w:t>
            </w:r>
            <w:proofErr w:type="gramEnd"/>
            <w:r w:rsidR="00AF006F">
              <w:rPr>
                <w:rFonts w:ascii="Graphik Regular" w:hAnsi="Graphik Regular" w:cs="Circular Std Book"/>
                <w:sz w:val="22"/>
                <w:szCs w:val="22"/>
              </w:rPr>
              <w:t xml:space="preserve"> or accommodate street planting and seating to the larger scale interventions including how we layout roads, the cross-sections we use, the visibility we provide and the network connections we facilitate.  When we get this wrong, even at the </w:t>
            </w:r>
            <w:proofErr w:type="gramStart"/>
            <w:r w:rsidR="00AF006F">
              <w:rPr>
                <w:rFonts w:ascii="Graphik Regular" w:hAnsi="Graphik Regular" w:cs="Circular Std Book"/>
                <w:sz w:val="22"/>
                <w:szCs w:val="22"/>
              </w:rPr>
              <w:t>most simple</w:t>
            </w:r>
            <w:proofErr w:type="gramEnd"/>
            <w:r w:rsidR="00AF006F">
              <w:rPr>
                <w:rFonts w:ascii="Graphik Regular" w:hAnsi="Graphik Regular" w:cs="Circular Std Book"/>
                <w:sz w:val="22"/>
                <w:szCs w:val="22"/>
              </w:rPr>
              <w:t xml:space="preserve"> and low cost end of the spectrum, we can inadvertently change how the network is used and experienced for the worse</w:t>
            </w:r>
            <w:r w:rsidR="00E9546F" w:rsidRPr="007572C8">
              <w:rPr>
                <w:rFonts w:ascii="Graphik Regular" w:hAnsi="Graphik Regular" w:cs="Circular Std Book"/>
                <w:sz w:val="22"/>
                <w:szCs w:val="22"/>
              </w:rPr>
              <w:t xml:space="preserve">. </w:t>
            </w:r>
            <w:r w:rsidR="0092278E" w:rsidRPr="007572C8">
              <w:rPr>
                <w:rFonts w:ascii="Graphik Regular" w:hAnsi="Graphik Regular" w:cs="Circular Std Book"/>
                <w:sz w:val="22"/>
                <w:szCs w:val="22"/>
              </w:rPr>
              <w:t xml:space="preserve"> This can have drastic impacts on the health and wellbeing of our communities by removing the opportunity to walk, cycle and interact (either through physical or perceived/mental barriers</w:t>
            </w:r>
            <w:r w:rsidR="00301679" w:rsidRPr="007572C8">
              <w:rPr>
                <w:rFonts w:ascii="Graphik Regular" w:hAnsi="Graphik Regular" w:cs="Circular Std Book"/>
                <w:sz w:val="22"/>
                <w:szCs w:val="22"/>
              </w:rPr>
              <w:t>)</w:t>
            </w:r>
            <w:r w:rsidR="0092278E" w:rsidRPr="007572C8">
              <w:rPr>
                <w:rFonts w:ascii="Graphik Regular" w:hAnsi="Graphik Regular" w:cs="Circular Std Book"/>
                <w:sz w:val="22"/>
                <w:szCs w:val="22"/>
              </w:rPr>
              <w:t xml:space="preserve"> and subjecting our communities to a life of car dependency and even isolation.</w:t>
            </w:r>
            <w:r w:rsidR="00301679" w:rsidRPr="007572C8">
              <w:rPr>
                <w:rFonts w:ascii="Graphik Regular" w:hAnsi="Graphik Regular" w:cs="Circular Std Book"/>
                <w:sz w:val="22"/>
                <w:szCs w:val="22"/>
              </w:rPr>
              <w:t xml:space="preserve">  Similarly, these same decisions can have direct impacts on observed and perceived security and safety of our communities leading to poorer mental and social wellbeing outcomes.</w:t>
            </w:r>
            <w:r w:rsidR="0092278E">
              <w:rPr>
                <w:rFonts w:ascii="Graphik Regular" w:hAnsi="Graphik Regular" w:cs="Circular Std Book"/>
                <w:sz w:val="22"/>
                <w:szCs w:val="22"/>
              </w:rPr>
              <w:t xml:space="preserve"> </w:t>
            </w:r>
            <w:r w:rsidR="00E9546F">
              <w:rPr>
                <w:rFonts w:ascii="Graphik Regular" w:hAnsi="Graphik Regular" w:cs="Circular Std Book"/>
                <w:sz w:val="22"/>
                <w:szCs w:val="22"/>
              </w:rPr>
              <w:t xml:space="preserve"> Unfortunately, many of our Engineers aren’t well equipped to consider the social context and don’t fully comprehend how the design standards which they use don’t adequately consider the human context of our communities.</w:t>
            </w:r>
          </w:p>
          <w:p w14:paraId="208B69D4" w14:textId="77777777" w:rsidR="00E9546F" w:rsidRDefault="00E9546F" w:rsidP="00E73FE4">
            <w:pPr>
              <w:rPr>
                <w:rFonts w:ascii="Graphik Regular" w:hAnsi="Graphik Regular" w:cs="Circular Std Book"/>
                <w:sz w:val="22"/>
                <w:szCs w:val="22"/>
              </w:rPr>
            </w:pPr>
          </w:p>
          <w:p w14:paraId="2ACCD1EC" w14:textId="296181A4" w:rsidR="00F0625E" w:rsidRPr="00AC2F42" w:rsidRDefault="00E9546F" w:rsidP="00E73FE4">
            <w:pPr>
              <w:rPr>
                <w:rFonts w:ascii="Graphik Regular" w:hAnsi="Graphik Regular" w:cs="Circular Std Book"/>
                <w:sz w:val="22"/>
                <w:szCs w:val="22"/>
              </w:rPr>
            </w:pPr>
            <w:r>
              <w:rPr>
                <w:rFonts w:ascii="Graphik Regular" w:hAnsi="Graphik Regular" w:cs="Circular Std Book"/>
                <w:sz w:val="22"/>
                <w:szCs w:val="22"/>
              </w:rPr>
              <w:t xml:space="preserve">Preference – Oral or Plenary Sessions – Abstract only  </w:t>
            </w:r>
            <w:r w:rsidR="00AF006F">
              <w:rPr>
                <w:rFonts w:ascii="Graphik Regular" w:hAnsi="Graphik Regular" w:cs="Circular Std Book"/>
                <w:sz w:val="22"/>
                <w:szCs w:val="22"/>
              </w:rPr>
              <w:t xml:space="preserve">  </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064E" w14:textId="77777777" w:rsidR="00585A3D" w:rsidRDefault="00585A3D">
      <w:r>
        <w:separator/>
      </w:r>
    </w:p>
  </w:endnote>
  <w:endnote w:type="continuationSeparator" w:id="0">
    <w:p w14:paraId="4B99F209" w14:textId="77777777" w:rsidR="00585A3D" w:rsidRDefault="0058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97CB" w14:textId="77777777" w:rsidR="00585A3D" w:rsidRDefault="00585A3D">
      <w:r>
        <w:separator/>
      </w:r>
    </w:p>
  </w:footnote>
  <w:footnote w:type="continuationSeparator" w:id="0">
    <w:p w14:paraId="0CB96EA4" w14:textId="77777777" w:rsidR="00585A3D" w:rsidRDefault="0058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446F433" w:rsidR="00A00C0B" w:rsidRDefault="00F93C84">
    <w:pPr>
      <w:pStyle w:val="Header"/>
    </w:pPr>
    <w:r>
      <w:rPr>
        <w:noProof/>
      </w:rPr>
      <w:drawing>
        <wp:anchor distT="0" distB="0" distL="114300" distR="114300" simplePos="0" relativeHeight="251662336" behindDoc="1" locked="0" layoutInCell="1" allowOverlap="1" wp14:anchorId="6113395E" wp14:editId="2D644706">
          <wp:simplePos x="0" y="0"/>
          <wp:positionH relativeFrom="page">
            <wp:align>left</wp:align>
          </wp:positionH>
          <wp:positionV relativeFrom="paragraph">
            <wp:posOffset>0</wp:posOffset>
          </wp:positionV>
          <wp:extent cx="7621270" cy="1905000"/>
          <wp:effectExtent l="0" t="0" r="0" b="0"/>
          <wp:wrapTight wrapText="bothSides">
            <wp:wrapPolygon edited="0">
              <wp:start x="0" y="0"/>
              <wp:lineTo x="0" y="21384"/>
              <wp:lineTo x="21542" y="21384"/>
              <wp:lineTo x="2154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1270" cy="1905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0002036">
    <w:abstractNumId w:val="10"/>
  </w:num>
  <w:num w:numId="2" w16cid:durableId="1250309459">
    <w:abstractNumId w:val="5"/>
  </w:num>
  <w:num w:numId="3" w16cid:durableId="1348210870">
    <w:abstractNumId w:val="6"/>
  </w:num>
  <w:num w:numId="4" w16cid:durableId="1226985272">
    <w:abstractNumId w:val="30"/>
  </w:num>
  <w:num w:numId="5" w16cid:durableId="948392871">
    <w:abstractNumId w:val="15"/>
  </w:num>
  <w:num w:numId="6" w16cid:durableId="889339996">
    <w:abstractNumId w:val="0"/>
  </w:num>
  <w:num w:numId="7" w16cid:durableId="11494928">
    <w:abstractNumId w:val="3"/>
  </w:num>
  <w:num w:numId="8" w16cid:durableId="525096915">
    <w:abstractNumId w:val="2"/>
  </w:num>
  <w:num w:numId="9" w16cid:durableId="1965845073">
    <w:abstractNumId w:val="29"/>
  </w:num>
  <w:num w:numId="10" w16cid:durableId="22245232">
    <w:abstractNumId w:val="16"/>
  </w:num>
  <w:num w:numId="11" w16cid:durableId="270165245">
    <w:abstractNumId w:val="26"/>
  </w:num>
  <w:num w:numId="12" w16cid:durableId="991055694">
    <w:abstractNumId w:val="13"/>
  </w:num>
  <w:num w:numId="13" w16cid:durableId="1701781445">
    <w:abstractNumId w:val="21"/>
  </w:num>
  <w:num w:numId="14" w16cid:durableId="2076002383">
    <w:abstractNumId w:val="1"/>
  </w:num>
  <w:num w:numId="15" w16cid:durableId="1316952668">
    <w:abstractNumId w:val="24"/>
  </w:num>
  <w:num w:numId="16" w16cid:durableId="528642253">
    <w:abstractNumId w:val="18"/>
  </w:num>
  <w:num w:numId="17" w16cid:durableId="1515920767">
    <w:abstractNumId w:val="14"/>
  </w:num>
  <w:num w:numId="18" w16cid:durableId="752091549">
    <w:abstractNumId w:val="27"/>
  </w:num>
  <w:num w:numId="19" w16cid:durableId="1090658290">
    <w:abstractNumId w:val="9"/>
  </w:num>
  <w:num w:numId="20" w16cid:durableId="1359618146">
    <w:abstractNumId w:val="23"/>
  </w:num>
  <w:num w:numId="21" w16cid:durableId="1548495484">
    <w:abstractNumId w:val="11"/>
  </w:num>
  <w:num w:numId="22" w16cid:durableId="1723557537">
    <w:abstractNumId w:val="17"/>
  </w:num>
  <w:num w:numId="23" w16cid:durableId="1902862278">
    <w:abstractNumId w:val="25"/>
  </w:num>
  <w:num w:numId="24" w16cid:durableId="1172182310">
    <w:abstractNumId w:val="4"/>
  </w:num>
  <w:num w:numId="25" w16cid:durableId="529685466">
    <w:abstractNumId w:val="19"/>
  </w:num>
  <w:num w:numId="26" w16cid:durableId="2095976775">
    <w:abstractNumId w:val="8"/>
  </w:num>
  <w:num w:numId="27" w16cid:durableId="246888451">
    <w:abstractNumId w:val="22"/>
  </w:num>
  <w:num w:numId="28" w16cid:durableId="1882553215">
    <w:abstractNumId w:val="20"/>
  </w:num>
  <w:num w:numId="29" w16cid:durableId="1424717516">
    <w:abstractNumId w:val="7"/>
  </w:num>
  <w:num w:numId="30" w16cid:durableId="212038927">
    <w:abstractNumId w:val="12"/>
  </w:num>
  <w:num w:numId="31" w16cid:durableId="19971025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1679"/>
    <w:rsid w:val="0030225C"/>
    <w:rsid w:val="00304226"/>
    <w:rsid w:val="00306A34"/>
    <w:rsid w:val="00311C11"/>
    <w:rsid w:val="003136AA"/>
    <w:rsid w:val="00320F8A"/>
    <w:rsid w:val="003244F7"/>
    <w:rsid w:val="003266F2"/>
    <w:rsid w:val="003349C4"/>
    <w:rsid w:val="003352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5A3D"/>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69F6"/>
    <w:rsid w:val="006C7FB0"/>
    <w:rsid w:val="006E2643"/>
    <w:rsid w:val="006F545D"/>
    <w:rsid w:val="00702E85"/>
    <w:rsid w:val="00711926"/>
    <w:rsid w:val="00714297"/>
    <w:rsid w:val="007249F0"/>
    <w:rsid w:val="00733126"/>
    <w:rsid w:val="0074457B"/>
    <w:rsid w:val="00745540"/>
    <w:rsid w:val="00755E06"/>
    <w:rsid w:val="007572C8"/>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278E"/>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AF006F"/>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9546F"/>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807AE"/>
    <w:rsid w:val="00F92224"/>
    <w:rsid w:val="00F93C8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262</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1719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10</cp:revision>
  <cp:lastPrinted>2017-09-24T23:53:00Z</cp:lastPrinted>
  <dcterms:created xsi:type="dcterms:W3CDTF">2021-09-14T07:13:00Z</dcterms:created>
  <dcterms:modified xsi:type="dcterms:W3CDTF">2022-07-06T00:24:00Z</dcterms:modified>
</cp:coreProperties>
</file>