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044F" w14:textId="77777777" w:rsidR="002C43BD" w:rsidRPr="00B70219" w:rsidRDefault="002C43BD" w:rsidP="002C43BD">
      <w:pPr>
        <w:autoSpaceDE w:val="0"/>
        <w:autoSpaceDN w:val="0"/>
        <w:adjustRightInd w:val="0"/>
        <w:spacing w:after="0" w:line="240" w:lineRule="auto"/>
        <w:rPr>
          <w:rFonts w:ascii="ArialMT" w:hAnsi="ArialMT" w:cs="ArialMT"/>
          <w:sz w:val="24"/>
          <w:szCs w:val="28"/>
        </w:rPr>
      </w:pPr>
      <w:r w:rsidRPr="00B70219">
        <w:rPr>
          <w:rFonts w:ascii="ArialMT" w:hAnsi="ArialMT" w:cs="ArialMT"/>
          <w:sz w:val="24"/>
          <w:szCs w:val="28"/>
        </w:rPr>
        <w:t>According to the 2018 census Beckenham, a suburb south of Christchurch’s central city has the highest commuter cycling rates in New Zealand. Why? And what can be learned from Beckenham that could help other suburbs increase their cycling rates? This research used a range of methods including analysis of census data, an analysis of the local geography, a community survey and focus groups of local residents</w:t>
      </w:r>
      <w:r w:rsidR="00A62CAE" w:rsidRPr="00B70219">
        <w:rPr>
          <w:rFonts w:ascii="ArialMT" w:hAnsi="ArialMT" w:cs="ArialMT"/>
          <w:sz w:val="24"/>
          <w:szCs w:val="28"/>
        </w:rPr>
        <w:t>,</w:t>
      </w:r>
      <w:r w:rsidRPr="00B70219">
        <w:rPr>
          <w:rFonts w:ascii="ArialMT" w:hAnsi="ArialMT" w:cs="ArialMT"/>
          <w:sz w:val="24"/>
          <w:szCs w:val="28"/>
        </w:rPr>
        <w:t xml:space="preserve"> to identify factors </w:t>
      </w:r>
      <w:r w:rsidR="00A62CAE" w:rsidRPr="00B70219">
        <w:rPr>
          <w:rFonts w:ascii="ArialMT" w:hAnsi="ArialMT" w:cs="ArialMT"/>
          <w:sz w:val="24"/>
          <w:szCs w:val="28"/>
        </w:rPr>
        <w:t xml:space="preserve">that </w:t>
      </w:r>
      <w:r w:rsidRPr="00B70219">
        <w:rPr>
          <w:rFonts w:ascii="ArialMT" w:hAnsi="ArialMT" w:cs="ArialMT"/>
          <w:sz w:val="24"/>
          <w:szCs w:val="28"/>
        </w:rPr>
        <w:t xml:space="preserve">may </w:t>
      </w:r>
      <w:r w:rsidR="00A62CAE" w:rsidRPr="00B70219">
        <w:rPr>
          <w:rFonts w:ascii="ArialMT" w:hAnsi="ArialMT" w:cs="ArialMT"/>
          <w:sz w:val="24"/>
          <w:szCs w:val="28"/>
        </w:rPr>
        <w:t xml:space="preserve">encourage </w:t>
      </w:r>
      <w:r w:rsidRPr="00B70219">
        <w:rPr>
          <w:rFonts w:ascii="ArialMT" w:hAnsi="ArialMT" w:cs="ArialMT"/>
          <w:sz w:val="24"/>
          <w:szCs w:val="28"/>
        </w:rPr>
        <w:t xml:space="preserve">people to cycle. </w:t>
      </w:r>
      <w:r w:rsidR="00A62CAE" w:rsidRPr="00B70219">
        <w:rPr>
          <w:rFonts w:ascii="ArialMT" w:hAnsi="ArialMT" w:cs="ArialMT"/>
          <w:sz w:val="24"/>
          <w:szCs w:val="28"/>
        </w:rPr>
        <w:t>R</w:t>
      </w:r>
      <w:r w:rsidRPr="00B70219">
        <w:rPr>
          <w:rFonts w:ascii="ArialMT" w:hAnsi="ArialMT" w:cs="ArialMT"/>
          <w:sz w:val="24"/>
          <w:szCs w:val="28"/>
        </w:rPr>
        <w:t xml:space="preserve">esearch shows that there is likely a range of factors that influence residents in Beckenham to cycle. </w:t>
      </w:r>
      <w:r w:rsidR="00A62CAE" w:rsidRPr="00B70219">
        <w:rPr>
          <w:rFonts w:ascii="ArialMT" w:hAnsi="ArialMT" w:cs="ArialMT"/>
          <w:sz w:val="24"/>
          <w:szCs w:val="28"/>
        </w:rPr>
        <w:t>These include: p</w:t>
      </w:r>
      <w:r w:rsidRPr="00B70219">
        <w:rPr>
          <w:rFonts w:ascii="ArialMT" w:hAnsi="ArialMT" w:cs="ArialMT"/>
          <w:sz w:val="24"/>
          <w:szCs w:val="28"/>
        </w:rPr>
        <w:t>erceived safety</w:t>
      </w:r>
      <w:r w:rsidR="00A62CAE" w:rsidRPr="00B70219">
        <w:rPr>
          <w:rFonts w:ascii="ArialMT" w:hAnsi="ArialMT" w:cs="ArialMT"/>
          <w:sz w:val="24"/>
          <w:szCs w:val="28"/>
        </w:rPr>
        <w:t>, f</w:t>
      </w:r>
      <w:r w:rsidRPr="00B70219">
        <w:rPr>
          <w:rFonts w:ascii="ArialMT" w:hAnsi="ArialMT" w:cs="ArialMT"/>
          <w:sz w:val="24"/>
          <w:szCs w:val="28"/>
        </w:rPr>
        <w:t xml:space="preserve">iltered permeability </w:t>
      </w:r>
      <w:r w:rsidR="00A62CAE" w:rsidRPr="00B70219">
        <w:rPr>
          <w:rFonts w:ascii="ArialMT" w:hAnsi="ArialMT" w:cs="ArialMT"/>
          <w:sz w:val="24"/>
          <w:szCs w:val="28"/>
        </w:rPr>
        <w:t>facilitated by the presence of the river, c</w:t>
      </w:r>
      <w:r w:rsidRPr="00B70219">
        <w:rPr>
          <w:rFonts w:ascii="ArialMT" w:hAnsi="ArialMT" w:cs="ArialMT"/>
          <w:sz w:val="24"/>
          <w:szCs w:val="28"/>
        </w:rPr>
        <w:t>ommunity participation</w:t>
      </w:r>
      <w:r w:rsidR="00A62CAE" w:rsidRPr="00B70219">
        <w:rPr>
          <w:rFonts w:ascii="ArialMT" w:hAnsi="ArialMT" w:cs="ArialMT"/>
          <w:sz w:val="24"/>
          <w:szCs w:val="28"/>
        </w:rPr>
        <w:t>, d</w:t>
      </w:r>
      <w:r w:rsidRPr="00B70219">
        <w:rPr>
          <w:rFonts w:ascii="ArialMT" w:hAnsi="ArialMT" w:cs="ArialMT"/>
          <w:sz w:val="24"/>
          <w:szCs w:val="28"/>
        </w:rPr>
        <w:t>istance to work</w:t>
      </w:r>
      <w:r w:rsidR="00A62CAE" w:rsidRPr="00B70219">
        <w:rPr>
          <w:rFonts w:ascii="ArialMT" w:hAnsi="ArialMT" w:cs="ArialMT"/>
          <w:sz w:val="24"/>
          <w:szCs w:val="28"/>
        </w:rPr>
        <w:t>, w</w:t>
      </w:r>
      <w:r w:rsidRPr="00B70219">
        <w:rPr>
          <w:rFonts w:ascii="ArialMT" w:hAnsi="ArialMT" w:cs="ArialMT"/>
          <w:sz w:val="24"/>
          <w:szCs w:val="28"/>
        </w:rPr>
        <w:t>orkplace</w:t>
      </w:r>
      <w:r w:rsidR="00A62CAE" w:rsidRPr="00B70219">
        <w:rPr>
          <w:rFonts w:ascii="ArialMT" w:hAnsi="ArialMT" w:cs="ArialMT"/>
          <w:sz w:val="24"/>
          <w:szCs w:val="28"/>
        </w:rPr>
        <w:t>s that</w:t>
      </w:r>
      <w:r w:rsidRPr="00B70219">
        <w:rPr>
          <w:rFonts w:ascii="ArialMT" w:hAnsi="ArialMT" w:cs="ArialMT"/>
          <w:sz w:val="24"/>
          <w:szCs w:val="28"/>
        </w:rPr>
        <w:t xml:space="preserve"> support cycling</w:t>
      </w:r>
      <w:r w:rsidR="00A62CAE" w:rsidRPr="00B70219">
        <w:rPr>
          <w:rFonts w:ascii="ArialMT" w:hAnsi="ArialMT" w:cs="ArialMT"/>
          <w:sz w:val="24"/>
          <w:szCs w:val="28"/>
        </w:rPr>
        <w:t>, s</w:t>
      </w:r>
      <w:r w:rsidRPr="00B70219">
        <w:rPr>
          <w:rFonts w:ascii="ArialMT" w:hAnsi="ArialMT" w:cs="ArialMT"/>
          <w:sz w:val="24"/>
          <w:szCs w:val="28"/>
        </w:rPr>
        <w:t>treet design and layout</w:t>
      </w:r>
      <w:r w:rsidR="00A62CAE" w:rsidRPr="00B70219">
        <w:rPr>
          <w:rFonts w:ascii="ArialMT" w:hAnsi="ArialMT" w:cs="ArialMT"/>
          <w:sz w:val="24"/>
          <w:szCs w:val="28"/>
        </w:rPr>
        <w:t>, cycle</w:t>
      </w:r>
      <w:r w:rsidRPr="00B70219">
        <w:rPr>
          <w:rFonts w:ascii="ArialMT" w:hAnsi="ArialMT" w:cs="ArialMT"/>
          <w:sz w:val="24"/>
          <w:szCs w:val="28"/>
        </w:rPr>
        <w:t xml:space="preserve"> infrastructure</w:t>
      </w:r>
      <w:r w:rsidR="00A62CAE" w:rsidRPr="00B70219">
        <w:rPr>
          <w:rFonts w:ascii="ArialMT" w:hAnsi="ArialMT" w:cs="ArialMT"/>
          <w:sz w:val="24"/>
          <w:szCs w:val="28"/>
        </w:rPr>
        <w:t xml:space="preserve"> and e</w:t>
      </w:r>
      <w:r w:rsidRPr="00B70219">
        <w:rPr>
          <w:rFonts w:ascii="ArialMT" w:hAnsi="ArialMT" w:cs="ArialMT"/>
          <w:sz w:val="24"/>
          <w:szCs w:val="28"/>
        </w:rPr>
        <w:t>nvironmental/Personal values</w:t>
      </w:r>
      <w:r w:rsidR="00B70219" w:rsidRPr="00B70219">
        <w:rPr>
          <w:rFonts w:ascii="ArialMT" w:hAnsi="ArialMT" w:cs="ArialMT"/>
          <w:sz w:val="24"/>
          <w:szCs w:val="28"/>
        </w:rPr>
        <w:t xml:space="preserve">. It is concluded that some key initiatives could help encourage </w:t>
      </w:r>
      <w:r w:rsidRPr="00B70219">
        <w:rPr>
          <w:rFonts w:ascii="ArialMT" w:hAnsi="ArialMT" w:cs="ArialMT"/>
          <w:sz w:val="24"/>
          <w:szCs w:val="28"/>
        </w:rPr>
        <w:t xml:space="preserve">cycling </w:t>
      </w:r>
      <w:r w:rsidR="00B70219" w:rsidRPr="00B70219">
        <w:rPr>
          <w:rFonts w:ascii="ArialMT" w:hAnsi="ArialMT" w:cs="ArialMT"/>
          <w:sz w:val="24"/>
          <w:szCs w:val="28"/>
        </w:rPr>
        <w:t>in other areas including i</w:t>
      </w:r>
      <w:r w:rsidRPr="00B70219">
        <w:rPr>
          <w:rFonts w:ascii="ArialMT" w:hAnsi="ArialMT" w:cs="ArialMT"/>
          <w:sz w:val="24"/>
          <w:szCs w:val="28"/>
        </w:rPr>
        <w:t xml:space="preserve">mproving </w:t>
      </w:r>
      <w:r w:rsidR="00B70219" w:rsidRPr="00B70219">
        <w:rPr>
          <w:rFonts w:ascii="ArialMT" w:hAnsi="ArialMT" w:cs="ArialMT"/>
          <w:sz w:val="24"/>
          <w:szCs w:val="28"/>
        </w:rPr>
        <w:t xml:space="preserve">cycling </w:t>
      </w:r>
      <w:r w:rsidRPr="00B70219">
        <w:rPr>
          <w:rFonts w:ascii="ArialMT" w:hAnsi="ArialMT" w:cs="ArialMT"/>
          <w:sz w:val="24"/>
          <w:szCs w:val="28"/>
        </w:rPr>
        <w:t>infrastructure</w:t>
      </w:r>
      <w:r w:rsidR="00B70219" w:rsidRPr="00B70219">
        <w:rPr>
          <w:rFonts w:ascii="ArialMT" w:hAnsi="ArialMT" w:cs="ArialMT"/>
          <w:sz w:val="24"/>
          <w:szCs w:val="28"/>
        </w:rPr>
        <w:t xml:space="preserve">, creating </w:t>
      </w:r>
      <w:r w:rsidRPr="00B70219">
        <w:rPr>
          <w:rFonts w:ascii="ArialMT" w:hAnsi="ArialMT" w:cs="ArialMT"/>
          <w:sz w:val="24"/>
          <w:szCs w:val="28"/>
        </w:rPr>
        <w:t>filtered permeability</w:t>
      </w:r>
      <w:r w:rsidR="00B70219" w:rsidRPr="00B70219">
        <w:rPr>
          <w:rFonts w:ascii="ArialMT" w:hAnsi="ArialMT" w:cs="ArialMT"/>
          <w:sz w:val="24"/>
          <w:szCs w:val="28"/>
        </w:rPr>
        <w:t>, l</w:t>
      </w:r>
      <w:r w:rsidRPr="00B70219">
        <w:rPr>
          <w:rFonts w:ascii="ArialMT" w:hAnsi="ArialMT" w:cs="ArialMT"/>
          <w:sz w:val="24"/>
          <w:szCs w:val="28"/>
        </w:rPr>
        <w:t>ower speed limits</w:t>
      </w:r>
      <w:r w:rsidR="00B70219" w:rsidRPr="00B70219">
        <w:rPr>
          <w:rFonts w:ascii="ArialMT" w:hAnsi="ArialMT" w:cs="ArialMT"/>
          <w:sz w:val="24"/>
          <w:szCs w:val="28"/>
        </w:rPr>
        <w:t xml:space="preserve"> and fostering a sense of cycle community. </w:t>
      </w:r>
    </w:p>
    <w:sectPr w:rsidR="002C43BD" w:rsidRPr="00B70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BD"/>
    <w:rsid w:val="002C43BD"/>
    <w:rsid w:val="006E69DB"/>
    <w:rsid w:val="0088247B"/>
    <w:rsid w:val="00997048"/>
    <w:rsid w:val="00A62CAE"/>
    <w:rsid w:val="00B70219"/>
    <w:rsid w:val="00C9735F"/>
    <w:rsid w:val="00DC1D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320F"/>
  <w15:chartTrackingRefBased/>
  <w15:docId w15:val="{D3A740A3-BE63-4F81-9A95-A19616DC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Kingham</dc:creator>
  <cp:keywords/>
  <dc:description/>
  <cp:lastModifiedBy>Glenda Harding</cp:lastModifiedBy>
  <cp:revision>2</cp:revision>
  <dcterms:created xsi:type="dcterms:W3CDTF">2024-03-12T22:15:00Z</dcterms:created>
  <dcterms:modified xsi:type="dcterms:W3CDTF">2024-03-12T22:15:00Z</dcterms:modified>
</cp:coreProperties>
</file>