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A233D">
              <w:rPr>
                <w:rFonts w:ascii="Fakt Pro Bln" w:hAnsi="Fakt Pro Bln" w:cs="Circular Std Book"/>
                <w:noProof/>
                <w:sz w:val="22"/>
                <w:szCs w:val="22"/>
              </w:rPr>
              <w:t>Mary</w:t>
            </w:r>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bookmarkStart w:id="1" w:name="_GoBack"/>
            <w:r w:rsidR="00AA233D">
              <w:rPr>
                <w:rFonts w:ascii="Fakt Pro Bln" w:hAnsi="Fakt Pro Bln" w:cs="Circular Std Book"/>
                <w:noProof/>
                <w:sz w:val="22"/>
                <w:szCs w:val="22"/>
              </w:rPr>
              <w:t>Haverland</w:t>
            </w:r>
            <w:bookmarkEnd w:id="1"/>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A233D">
              <w:rPr>
                <w:rFonts w:ascii="Fakt Pro Bln" w:hAnsi="Fakt Pro Bln" w:cs="Circular Std Book"/>
                <w:noProof/>
                <w:sz w:val="22"/>
                <w:szCs w:val="22"/>
              </w:rPr>
              <w:t>WSP</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A233D">
              <w:rPr>
                <w:rFonts w:ascii="Fakt Pro Bln" w:hAnsi="Fakt Pro Bln" w:cs="Circular Std Book"/>
                <w:noProof/>
                <w:sz w:val="22"/>
                <w:szCs w:val="22"/>
              </w:rPr>
              <w:t>Level 27, 680 George Street, Sydney, NSW, Australia, 2000</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A233D">
              <w:rPr>
                <w:rFonts w:ascii="Fakt Pro Bln" w:hAnsi="Fakt Pro Bln" w:cs="Circular Std Book"/>
                <w:sz w:val="22"/>
                <w:szCs w:val="22"/>
              </w:rPr>
              <w:t>mary.haverland@wsp.com</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A233D" w:rsidRPr="00AA233D">
              <w:rPr>
                <w:rFonts w:ascii="Fakt Pro Bln" w:hAnsi="Fakt Pro Bln" w:cs="Circular Std Book"/>
                <w:noProof/>
                <w:sz w:val="22"/>
                <w:szCs w:val="22"/>
              </w:rPr>
              <w:t>+61 2 9272 5531</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A233D">
              <w:rPr>
                <w:rFonts w:ascii="Fakt Pro Bln" w:hAnsi="Fakt Pro Bln" w:cs="Circular Std Book"/>
                <w:noProof/>
                <w:sz w:val="22"/>
                <w:szCs w:val="22"/>
              </w:rPr>
              <w:t>+61 (0)450 276 360</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A233D">
              <w:rPr>
                <w:rFonts w:ascii="Fakt Pro Bln" w:hAnsi="Fakt Pro Bln" w:cs="Circular Std Book"/>
                <w:sz w:val="22"/>
                <w:szCs w:val="22"/>
              </w:rPr>
              <w:t>Movement and Place: the ANZ experience</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AA233D" w:rsidRPr="00AA233D" w:rsidRDefault="00F44BB9" w:rsidP="00AA233D">
            <w:pPr>
              <w:spacing w:before="120" w:after="40"/>
              <w:rPr>
                <w:rFonts w:ascii="Fakt Pro Bln" w:hAnsi="Fakt Pro Bln" w:cs="Circular Std Book"/>
                <w:noProof/>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A233D" w:rsidRPr="00AA233D">
              <w:rPr>
                <w:rFonts w:ascii="Fakt Pro Bln" w:hAnsi="Fakt Pro Bln" w:cs="Circular Std Book"/>
                <w:noProof/>
                <w:sz w:val="22"/>
                <w:szCs w:val="22"/>
              </w:rPr>
              <w:t xml:space="preserve">Transport authorities in Australia and New Zealand have been developing, or are looking to develop, road planning frameworks based on ‘Movement and Place’ principles (also known as “Link and Place”).  </w:t>
            </w:r>
            <w:r w:rsidR="00F830BA">
              <w:rPr>
                <w:rFonts w:ascii="Fakt Pro Bln" w:hAnsi="Fakt Pro Bln" w:cs="Circular Std Book"/>
                <w:noProof/>
                <w:sz w:val="22"/>
                <w:szCs w:val="22"/>
              </w:rPr>
              <w:t>T</w:t>
            </w:r>
            <w:r w:rsidR="00AA233D" w:rsidRPr="00AA233D">
              <w:rPr>
                <w:rFonts w:ascii="Fakt Pro Bln" w:hAnsi="Fakt Pro Bln" w:cs="Circular Std Book"/>
                <w:noProof/>
                <w:sz w:val="22"/>
                <w:szCs w:val="22"/>
              </w:rPr>
              <w:t>he</w:t>
            </w:r>
            <w:r w:rsidR="00F830BA">
              <w:rPr>
                <w:rFonts w:ascii="Fakt Pro Bln" w:hAnsi="Fakt Pro Bln" w:cs="Circular Std Book"/>
                <w:noProof/>
                <w:sz w:val="22"/>
                <w:szCs w:val="22"/>
              </w:rPr>
              <w:t xml:space="preserve"> recently developed</w:t>
            </w:r>
            <w:r w:rsidR="00AA233D" w:rsidRPr="00AA233D">
              <w:rPr>
                <w:rFonts w:ascii="Fakt Pro Bln" w:hAnsi="Fakt Pro Bln" w:cs="Circular Std Book"/>
                <w:noProof/>
                <w:sz w:val="22"/>
                <w:szCs w:val="22"/>
              </w:rPr>
              <w:t xml:space="preserve"> draft Auckland Transport Roads and Streets Framework and accompanying Transport Design Manual clearly set out their respective roles in embedding a movement and place based planning approach at the strategic and development/design stages of Auckland Transport processes. Whilst both documents are locally focussed, the global influences of London Roads Taskforce and Global Street Design Guide are evident; and it is appreciated that AT’s adoption of best practice and a common planning framework enables Auckland to benchmark itself against other comparable world cities. </w:t>
            </w:r>
          </w:p>
          <w:p w:rsidR="00AA233D" w:rsidRPr="00AA233D" w:rsidRDefault="00AA233D" w:rsidP="00AA233D">
            <w:pPr>
              <w:spacing w:before="120" w:after="40"/>
              <w:rPr>
                <w:rFonts w:ascii="Fakt Pro Bln" w:hAnsi="Fakt Pro Bln" w:cs="Circular Std Book"/>
                <w:noProof/>
                <w:sz w:val="22"/>
                <w:szCs w:val="22"/>
              </w:rPr>
            </w:pPr>
            <w:r w:rsidRPr="00AA233D">
              <w:rPr>
                <w:rFonts w:ascii="Fakt Pro Bln" w:hAnsi="Fakt Pro Bln" w:cs="Circular Std Book"/>
                <w:noProof/>
                <w:sz w:val="22"/>
                <w:szCs w:val="22"/>
              </w:rPr>
              <w:t xml:space="preserve">The purpose of this paper is to de-mystify: what “Movement and Place” is, where it came from’, who is using it, and the basic principles of application.  I will explore the concept of ‘place’ within the street environment and the </w:t>
            </w:r>
            <w:r w:rsidRPr="00AA233D">
              <w:rPr>
                <w:rFonts w:ascii="Fakt Pro Bln" w:hAnsi="Fakt Pro Bln" w:cs="Circular Std Book"/>
                <w:noProof/>
                <w:sz w:val="22"/>
                <w:szCs w:val="22"/>
              </w:rPr>
              <w:lastRenderedPageBreak/>
              <w:t xml:space="preserve">type of customer based evidence we can collect to reflect on what has worked well in the past, what we are doing right now, and interventions we may make to shape the environment so that it will support how we will live, work and travel in the future.  </w:t>
            </w:r>
          </w:p>
          <w:p w:rsidR="00657112" w:rsidRPr="00141C3F" w:rsidRDefault="00AA233D" w:rsidP="00AA233D">
            <w:pPr>
              <w:spacing w:before="120" w:after="40"/>
              <w:rPr>
                <w:rFonts w:ascii="Fakt Pro Bln" w:hAnsi="Fakt Pro Bln" w:cs="Circular Std Book"/>
              </w:rPr>
            </w:pPr>
            <w:r w:rsidRPr="00AA233D">
              <w:rPr>
                <w:rFonts w:ascii="Fakt Pro Bln" w:hAnsi="Fakt Pro Bln" w:cs="Circular Std Book"/>
                <w:noProof/>
                <w:sz w:val="22"/>
                <w:szCs w:val="22"/>
              </w:rPr>
              <w:t xml:space="preserve">I will draw on my decade of practice of working with clients to develop and apply the framework and reference case studies from: London, Sydney, Melbourne, Adelaide and Auckland.  I will look at how each city has adapted the principles to their own urban fabric, governance context and customer priorities - and with a global background of exploding information availability and big data - contributed to the development of the ‘movement and place’ framework. </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3EC" w:rsidRDefault="000E03EC">
      <w:r>
        <w:separator/>
      </w:r>
    </w:p>
  </w:endnote>
  <w:endnote w:type="continuationSeparator" w:id="0">
    <w:p w:rsidR="000E03EC" w:rsidRDefault="000E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akt Pro Bln">
    <w:altName w:val="Times New Roman"/>
    <w:panose1 w:val="00000000000000000000"/>
    <w:charset w:val="00"/>
    <w:family w:val="modern"/>
    <w:notTrueType/>
    <w:pitch w:val="variable"/>
    <w:sig w:usb0="00000001" w:usb1="00000001"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Fakt Pro Nor">
    <w:altName w:val="Times New Roman"/>
    <w:panose1 w:val="00000000000000000000"/>
    <w:charset w:val="00"/>
    <w:family w:val="modern"/>
    <w:notTrueType/>
    <w:pitch w:val="variable"/>
    <w:sig w:usb0="00000001" w:usb1="00000001" w:usb2="00000000" w:usb3="00000000" w:csb0="0000009B"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094515" w:rsidP="00973ADB">
    <w:pPr>
      <w:pStyle w:val="Footer"/>
      <w:ind w:left="-851" w:right="-851"/>
      <w:jc w:val="center"/>
    </w:pPr>
    <w:r>
      <w:rPr>
        <w:noProof/>
        <w:lang w:val="en-AU" w:eastAsia="en-AU"/>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3EC" w:rsidRDefault="000E03EC">
      <w:r>
        <w:separator/>
      </w:r>
    </w:p>
  </w:footnote>
  <w:footnote w:type="continuationSeparator" w:id="0">
    <w:p w:rsidR="000E03EC" w:rsidRDefault="000E03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Pr="009D1BC8" w:rsidRDefault="00817D3F" w:rsidP="00BC6341">
    <w:pPr>
      <w:pStyle w:val="Header"/>
      <w:spacing w:after="120"/>
      <w:ind w:left="-992" w:right="-851"/>
      <w:jc w:val="center"/>
      <w:rPr>
        <w:rFonts w:ascii="Fakt Pro Bln" w:hAnsi="Fakt Pro Bln"/>
      </w:rPr>
    </w:pPr>
    <w:r>
      <w:rPr>
        <w:noProof/>
        <w:lang w:val="en-AU" w:eastAsia="en-AU"/>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9.75pt;height:81.75pt" o:bullet="t">
        <v:imagedata r:id="rId1" o:title="Bullet Point"/>
      </v:shape>
    </w:pict>
  </w:numPicBullet>
  <w:numPicBullet w:numPicBulletId="1">
    <w:pict>
      <v:shape id="_x0000_i1047" type="#_x0000_t75" style="width:176.25pt;height:170.25pt" o:bullet="t">
        <v:imagedata r:id="rId2" o:title="Conf-Icon"/>
      </v:shape>
    </w:pict>
  </w:numPicBullet>
  <w:numPicBullet w:numPicBulletId="2">
    <w:pict>
      <v:shape id="_x0000_i1048" type="#_x0000_t75" style="width:151.5pt;height:144.75pt" o:bullet="t">
        <v:imagedata r:id="rId3" o:title="Conf-Icon"/>
      </v:shape>
    </w:pict>
  </w:numPicBullet>
  <w:numPicBullet w:numPicBulletId="3">
    <w:pict>
      <v:shape id="_x0000_i1049" type="#_x0000_t75" style="width:122.25pt;height:111pt" o:bullet="t">
        <v:imagedata r:id="rId4" o:title="Bullet Point"/>
      </v:shape>
    </w:pict>
  </w:numPicBullet>
  <w:numPicBullet w:numPicBulletId="4">
    <w:pict>
      <v:shape id="_x0000_i1050" type="#_x0000_t75" style="width:109.5pt;height:107.2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xAppendixName" w:val="Appendix"/>
  </w:docVars>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E03EC"/>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4CC0"/>
    <w:rsid w:val="00426508"/>
    <w:rsid w:val="00442674"/>
    <w:rsid w:val="00451684"/>
    <w:rsid w:val="004529D4"/>
    <w:rsid w:val="00455673"/>
    <w:rsid w:val="00457E30"/>
    <w:rsid w:val="0048238B"/>
    <w:rsid w:val="004D3753"/>
    <w:rsid w:val="004D6306"/>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9F5C3B"/>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33D"/>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918"/>
    <w:rsid w:val="00F422F5"/>
    <w:rsid w:val="00F425DA"/>
    <w:rsid w:val="00F44BB9"/>
    <w:rsid w:val="00F56A54"/>
    <w:rsid w:val="00F612BD"/>
    <w:rsid w:val="00F701D4"/>
    <w:rsid w:val="00F71D8F"/>
    <w:rsid w:val="00F80562"/>
    <w:rsid w:val="00F830BA"/>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605C1C"/>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4">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710831-60B8-4532-80C0-31929A31A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377</Words>
  <Characters>2154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2526</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Haverland, Mary</cp:lastModifiedBy>
  <cp:revision>3</cp:revision>
  <cp:lastPrinted>2017-09-24T23:53:00Z</cp:lastPrinted>
  <dcterms:created xsi:type="dcterms:W3CDTF">2017-10-05T20:09:00Z</dcterms:created>
  <dcterms:modified xsi:type="dcterms:W3CDTF">2017-10-05T20:22:00Z</dcterms:modified>
</cp:coreProperties>
</file>